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0" w:lineRule="exact" w:before="127"/>
        <w:ind w:left="1180" w:right="1508" w:firstLine="0"/>
        <w:jc w:val="center"/>
        <w:rPr>
          <w:sz w:val="26"/>
        </w:rPr>
      </w:pPr>
      <w:r>
        <w:rPr/>
        <w:drawing>
          <wp:anchor distT="0" distB="0" distL="0" distR="0" allowOverlap="1" layoutInCell="1" locked="0" behindDoc="0" simplePos="0" relativeHeight="1120">
            <wp:simplePos x="0" y="0"/>
            <wp:positionH relativeFrom="page">
              <wp:posOffset>816907</wp:posOffset>
            </wp:positionH>
            <wp:positionV relativeFrom="paragraph">
              <wp:posOffset>18484</wp:posOffset>
            </wp:positionV>
            <wp:extent cx="512988" cy="70714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12988" cy="707142"/>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6362974</wp:posOffset>
            </wp:positionH>
            <wp:positionV relativeFrom="paragraph">
              <wp:posOffset>-5899</wp:posOffset>
            </wp:positionV>
            <wp:extent cx="553078" cy="760483"/>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3078" cy="760483"/>
                    </a:xfrm>
                    <a:prstGeom prst="rect">
                      <a:avLst/>
                    </a:prstGeom>
                  </pic:spPr>
                </pic:pic>
              </a:graphicData>
            </a:graphic>
          </wp:anchor>
        </w:drawing>
      </w:r>
      <w:r>
        <w:rPr>
          <w:w w:val="110"/>
          <w:sz w:val="26"/>
        </w:rPr>
        <w:t>ROMÂNIA</w:t>
      </w:r>
    </w:p>
    <w:p>
      <w:pPr>
        <w:pStyle w:val="BodyText"/>
        <w:spacing w:line="237" w:lineRule="exact" w:before="0"/>
        <w:ind w:left="1180" w:right="1508"/>
        <w:jc w:val="center"/>
      </w:pPr>
      <w:r>
        <w:rPr>
          <w:w w:val="110"/>
        </w:rPr>
        <w:t>JUDEȚUL</w:t>
      </w:r>
      <w:r>
        <w:rPr>
          <w:spacing w:val="19"/>
          <w:w w:val="110"/>
        </w:rPr>
        <w:t> </w:t>
      </w:r>
      <w:r>
        <w:rPr>
          <w:w w:val="110"/>
        </w:rPr>
        <w:t>IAȘI</w:t>
      </w:r>
    </w:p>
    <w:p>
      <w:pPr>
        <w:spacing w:before="43"/>
        <w:ind w:left="1180" w:right="1518" w:firstLine="0"/>
        <w:jc w:val="center"/>
        <w:rPr>
          <w:sz w:val="35"/>
        </w:rPr>
      </w:pPr>
      <w:r>
        <w:rPr>
          <w:w w:val="120"/>
          <w:sz w:val="35"/>
        </w:rPr>
        <w:t>CONSILIUL LOCAL AL COMUNEI</w:t>
      </w:r>
      <w:r>
        <w:rPr>
          <w:spacing w:val="-58"/>
          <w:w w:val="120"/>
          <w:sz w:val="35"/>
        </w:rPr>
        <w:t> </w:t>
      </w:r>
      <w:r>
        <w:rPr>
          <w:w w:val="120"/>
          <w:sz w:val="35"/>
        </w:rPr>
        <w:t>COSTULENI</w:t>
      </w:r>
    </w:p>
    <w:p>
      <w:pPr>
        <w:pStyle w:val="BodyText"/>
        <w:spacing w:before="9"/>
        <w:ind w:left="0"/>
        <w:jc w:val="left"/>
        <w:rPr>
          <w:sz w:val="16"/>
        </w:rPr>
      </w:pPr>
      <w:r>
        <w:rPr/>
        <w:pict>
          <v:line style="position:absolute;mso-position-horizontal-relative:page;mso-position-vertical-relative:paragraph;z-index:-1024;mso-wrap-distance-left:0;mso-wrap-distance-right:0" from="62.400002pt,12.603226pt" to="552.192328pt,12.603226pt" stroked="true" strokeweight=".76770pt" strokecolor="#89acd9">
            <v:stroke dashstyle="solid"/>
            <w10:wrap type="topAndBottom"/>
          </v:line>
        </w:pict>
      </w:r>
    </w:p>
    <w:p>
      <w:pPr>
        <w:spacing w:before="299"/>
        <w:ind w:left="1180" w:right="1164" w:firstLine="0"/>
        <w:jc w:val="center"/>
        <w:rPr>
          <w:sz w:val="30"/>
        </w:rPr>
      </w:pPr>
      <w:r>
        <w:rPr>
          <w:w w:val="115"/>
          <w:sz w:val="30"/>
        </w:rPr>
        <w:t>PROIECT DE HOTĂRÂRE</w:t>
      </w:r>
    </w:p>
    <w:p>
      <w:pPr>
        <w:spacing w:before="67"/>
        <w:ind w:left="1180" w:right="1180" w:firstLine="0"/>
        <w:jc w:val="center"/>
        <w:rPr>
          <w:rFonts w:ascii="Arial"/>
          <w:b/>
          <w:sz w:val="20"/>
        </w:rPr>
      </w:pPr>
      <w:r>
        <w:rPr/>
        <w:pict>
          <v:group style="position:absolute;margin-left:256.627991pt;margin-top:18.245354pt;width:101.35pt;height:.8pt;mso-position-horizontal-relative:page;mso-position-vertical-relative:paragraph;z-index:-1000;mso-wrap-distance-left:0;mso-wrap-distance-right:0" coordorigin="5133,365" coordsize="2027,16">
            <v:rect style="position:absolute;left:5132;top:364;width:16;height:16" filled="true" fillcolor="#a4a4a4" stroked="false">
              <v:fill type="solid"/>
            </v:rect>
            <v:rect style="position:absolute;left:7143;top:364;width:16;height:16" filled="true" fillcolor="#a4a4a4" stroked="false">
              <v:fill type="solid"/>
            </v:rect>
            <v:line style="position:absolute" from="5148,373" to="7144,373" stroked="true" strokeweight=".76770pt" strokecolor="#a4a4a4">
              <v:stroke dashstyle="shortdot"/>
            </v:line>
            <w10:wrap type="topAndBottom"/>
          </v:group>
        </w:pict>
      </w:r>
      <w:r>
        <w:rPr>
          <w:w w:val="110"/>
          <w:sz w:val="20"/>
        </w:rPr>
        <w:t>nr. </w:t>
      </w:r>
      <w:r>
        <w:rPr>
          <w:rFonts w:ascii="Arial"/>
          <w:b/>
          <w:w w:val="110"/>
          <w:sz w:val="20"/>
        </w:rPr>
        <w:t>84 </w:t>
      </w:r>
      <w:r>
        <w:rPr>
          <w:w w:val="110"/>
          <w:sz w:val="20"/>
        </w:rPr>
        <w:t>din </w:t>
      </w:r>
      <w:r>
        <w:rPr>
          <w:rFonts w:ascii="Arial"/>
          <w:b/>
          <w:w w:val="110"/>
          <w:sz w:val="20"/>
        </w:rPr>
        <w:t>09.12.2022</w:t>
      </w:r>
    </w:p>
    <w:p>
      <w:pPr>
        <w:pStyle w:val="BodyText"/>
        <w:spacing w:before="4"/>
        <w:ind w:left="0"/>
        <w:jc w:val="left"/>
        <w:rPr>
          <w:rFonts w:ascii="Arial"/>
          <w:b/>
          <w:sz w:val="9"/>
        </w:rPr>
      </w:pPr>
    </w:p>
    <w:p>
      <w:pPr>
        <w:spacing w:before="102"/>
        <w:ind w:left="522" w:right="0" w:firstLine="0"/>
        <w:jc w:val="left"/>
        <w:rPr>
          <w:rFonts w:ascii="Trebuchet MS" w:hAnsi="Trebuchet MS"/>
          <w:i/>
          <w:sz w:val="22"/>
        </w:rPr>
      </w:pPr>
      <w:r>
        <w:rPr>
          <w:rFonts w:ascii="Trebuchet MS" w:hAnsi="Trebuchet MS"/>
          <w:i/>
          <w:sz w:val="22"/>
        </w:rPr>
        <w:t>privind</w:t>
      </w:r>
      <w:r>
        <w:rPr>
          <w:rFonts w:ascii="Trebuchet MS" w:hAnsi="Trebuchet MS"/>
          <w:i/>
          <w:spacing w:val="-36"/>
          <w:sz w:val="22"/>
        </w:rPr>
        <w:t> </w:t>
      </w:r>
      <w:r>
        <w:rPr>
          <w:rFonts w:ascii="Trebuchet MS" w:hAnsi="Trebuchet MS"/>
          <w:i/>
          <w:sz w:val="22"/>
        </w:rPr>
        <w:t>indexarea</w:t>
      </w:r>
      <w:r>
        <w:rPr>
          <w:rFonts w:ascii="Trebuchet MS" w:hAnsi="Trebuchet MS"/>
          <w:i/>
          <w:spacing w:val="-35"/>
          <w:sz w:val="22"/>
        </w:rPr>
        <w:t> </w:t>
      </w:r>
      <w:r>
        <w:rPr>
          <w:rFonts w:ascii="Trebuchet MS" w:hAnsi="Trebuchet MS"/>
          <w:i/>
          <w:sz w:val="22"/>
        </w:rPr>
        <w:t>și</w:t>
      </w:r>
      <w:r>
        <w:rPr>
          <w:rFonts w:ascii="Trebuchet MS" w:hAnsi="Trebuchet MS"/>
          <w:i/>
          <w:spacing w:val="-38"/>
          <w:sz w:val="22"/>
        </w:rPr>
        <w:t> </w:t>
      </w:r>
      <w:r>
        <w:rPr>
          <w:rFonts w:ascii="Trebuchet MS" w:hAnsi="Trebuchet MS"/>
          <w:i/>
          <w:sz w:val="22"/>
        </w:rPr>
        <w:t>aprobarea</w:t>
      </w:r>
      <w:r>
        <w:rPr>
          <w:rFonts w:ascii="Trebuchet MS" w:hAnsi="Trebuchet MS"/>
          <w:i/>
          <w:spacing w:val="-36"/>
          <w:sz w:val="22"/>
        </w:rPr>
        <w:t> </w:t>
      </w:r>
      <w:r>
        <w:rPr>
          <w:rFonts w:ascii="Trebuchet MS" w:hAnsi="Trebuchet MS"/>
          <w:i/>
          <w:sz w:val="22"/>
        </w:rPr>
        <w:t>taxelor,</w:t>
      </w:r>
      <w:r>
        <w:rPr>
          <w:rFonts w:ascii="Trebuchet MS" w:hAnsi="Trebuchet MS"/>
          <w:i/>
          <w:spacing w:val="-35"/>
          <w:sz w:val="22"/>
        </w:rPr>
        <w:t> </w:t>
      </w:r>
      <w:r>
        <w:rPr>
          <w:rFonts w:ascii="Trebuchet MS" w:hAnsi="Trebuchet MS"/>
          <w:i/>
          <w:sz w:val="22"/>
        </w:rPr>
        <w:t>impozitelor</w:t>
      </w:r>
      <w:r>
        <w:rPr>
          <w:rFonts w:ascii="Trebuchet MS" w:hAnsi="Trebuchet MS"/>
          <w:i/>
          <w:spacing w:val="-35"/>
          <w:sz w:val="22"/>
        </w:rPr>
        <w:t> </w:t>
      </w:r>
      <w:r>
        <w:rPr>
          <w:rFonts w:ascii="Trebuchet MS" w:hAnsi="Trebuchet MS"/>
          <w:i/>
          <w:sz w:val="22"/>
        </w:rPr>
        <w:t>locale</w:t>
      </w:r>
      <w:r>
        <w:rPr>
          <w:rFonts w:ascii="Trebuchet MS" w:hAnsi="Trebuchet MS"/>
          <w:i/>
          <w:spacing w:val="-35"/>
          <w:sz w:val="22"/>
        </w:rPr>
        <w:t> </w:t>
      </w:r>
      <w:r>
        <w:rPr>
          <w:rFonts w:ascii="Trebuchet MS" w:hAnsi="Trebuchet MS"/>
          <w:i/>
          <w:sz w:val="22"/>
        </w:rPr>
        <w:t>și</w:t>
      </w:r>
      <w:r>
        <w:rPr>
          <w:rFonts w:ascii="Trebuchet MS" w:hAnsi="Trebuchet MS"/>
          <w:i/>
          <w:spacing w:val="-35"/>
          <w:sz w:val="22"/>
        </w:rPr>
        <w:t> </w:t>
      </w:r>
      <w:r>
        <w:rPr>
          <w:rFonts w:ascii="Trebuchet MS" w:hAnsi="Trebuchet MS"/>
          <w:i/>
          <w:sz w:val="22"/>
        </w:rPr>
        <w:t>a</w:t>
      </w:r>
      <w:r>
        <w:rPr>
          <w:rFonts w:ascii="Trebuchet MS" w:hAnsi="Trebuchet MS"/>
          <w:i/>
          <w:spacing w:val="-35"/>
          <w:sz w:val="22"/>
        </w:rPr>
        <w:t> </w:t>
      </w:r>
      <w:r>
        <w:rPr>
          <w:rFonts w:ascii="Trebuchet MS" w:hAnsi="Trebuchet MS"/>
          <w:i/>
          <w:sz w:val="22"/>
        </w:rPr>
        <w:t>taxelor</w:t>
      </w:r>
      <w:r>
        <w:rPr>
          <w:rFonts w:ascii="Trebuchet MS" w:hAnsi="Trebuchet MS"/>
          <w:i/>
          <w:spacing w:val="-35"/>
          <w:sz w:val="22"/>
        </w:rPr>
        <w:t> </w:t>
      </w:r>
      <w:r>
        <w:rPr>
          <w:rFonts w:ascii="Trebuchet MS" w:hAnsi="Trebuchet MS"/>
          <w:i/>
          <w:sz w:val="22"/>
        </w:rPr>
        <w:t>speciale</w:t>
      </w:r>
      <w:r>
        <w:rPr>
          <w:rFonts w:ascii="Trebuchet MS" w:hAnsi="Trebuchet MS"/>
          <w:i/>
          <w:spacing w:val="-36"/>
          <w:sz w:val="22"/>
        </w:rPr>
        <w:t> </w:t>
      </w:r>
      <w:r>
        <w:rPr>
          <w:rFonts w:ascii="Trebuchet MS" w:hAnsi="Trebuchet MS"/>
          <w:i/>
          <w:sz w:val="22"/>
        </w:rPr>
        <w:t>pentru</w:t>
      </w:r>
      <w:r>
        <w:rPr>
          <w:rFonts w:ascii="Trebuchet MS" w:hAnsi="Trebuchet MS"/>
          <w:i/>
          <w:spacing w:val="-35"/>
          <w:sz w:val="22"/>
        </w:rPr>
        <w:t> </w:t>
      </w:r>
      <w:r>
        <w:rPr>
          <w:rFonts w:ascii="Trebuchet MS" w:hAnsi="Trebuchet MS"/>
          <w:i/>
          <w:sz w:val="22"/>
        </w:rPr>
        <w:t>anul</w:t>
      </w:r>
      <w:r>
        <w:rPr>
          <w:rFonts w:ascii="Trebuchet MS" w:hAnsi="Trebuchet MS"/>
          <w:i/>
          <w:spacing w:val="-35"/>
          <w:sz w:val="22"/>
        </w:rPr>
        <w:t> </w:t>
      </w:r>
      <w:r>
        <w:rPr>
          <w:rFonts w:ascii="Trebuchet MS" w:hAnsi="Trebuchet MS"/>
          <w:i/>
          <w:sz w:val="22"/>
        </w:rPr>
        <w:t>2022</w:t>
      </w:r>
    </w:p>
    <w:p>
      <w:pPr>
        <w:pStyle w:val="BodyText"/>
        <w:spacing w:before="9"/>
        <w:ind w:left="0"/>
        <w:jc w:val="left"/>
        <w:rPr>
          <w:rFonts w:ascii="Trebuchet MS"/>
          <w:i/>
          <w:sz w:val="22"/>
        </w:rPr>
      </w:pPr>
      <w:r>
        <w:rPr/>
        <w:pict>
          <v:shape style="position:absolute;margin-left:62.400002pt;margin-top:14.439511pt;width:489.8pt;height:181.95pt;mso-position-horizontal-relative:page;mso-position-vertical-relative:paragraph;z-index:-976;mso-wrap-distance-left:0;mso-wrap-distance-right:0" type="#_x0000_t202" filled="true" fillcolor="#f8f8f8" stroked="false">
            <v:textbox inset="0,0,0,0">
              <w:txbxContent>
                <w:p>
                  <w:pPr>
                    <w:spacing w:before="135"/>
                    <w:ind w:left="168" w:right="0" w:firstLine="0"/>
                    <w:jc w:val="left"/>
                    <w:rPr>
                      <w:rFonts w:ascii="Arial" w:hAnsi="Arial"/>
                      <w:b/>
                      <w:sz w:val="20"/>
                    </w:rPr>
                  </w:pPr>
                  <w:r>
                    <w:rPr>
                      <w:rFonts w:ascii="Arial" w:hAnsi="Arial"/>
                      <w:b/>
                      <w:sz w:val="20"/>
                    </w:rPr>
                    <w:t>Analizând temeiurile juridice, respectiv:</w:t>
                  </w:r>
                </w:p>
                <w:p>
                  <w:pPr>
                    <w:pStyle w:val="BodyText"/>
                    <w:spacing w:before="6"/>
                    <w:ind w:left="0"/>
                    <w:jc w:val="left"/>
                    <w:rPr>
                      <w:rFonts w:ascii="Trebuchet MS"/>
                      <w:i/>
                      <w:sz w:val="23"/>
                    </w:rPr>
                  </w:pPr>
                </w:p>
                <w:p>
                  <w:pPr>
                    <w:pStyle w:val="BodyText"/>
                    <w:numPr>
                      <w:ilvl w:val="0"/>
                      <w:numId w:val="1"/>
                    </w:numPr>
                    <w:tabs>
                      <w:tab w:pos="446" w:val="left" w:leader="none"/>
                    </w:tabs>
                    <w:spacing w:line="271" w:lineRule="auto" w:before="0" w:after="0"/>
                    <w:ind w:left="445" w:right="160" w:hanging="307"/>
                    <w:jc w:val="left"/>
                  </w:pPr>
                  <w:r>
                    <w:rPr>
                      <w:w w:val="110"/>
                    </w:rPr>
                    <w:t>Art. 87 , alin. 3, art. 129 , alin. 2 , lit. b și alin. 4, lit. c din Ordonanța de Urgență a Guvernului nr. 57/2019 privind Codul</w:t>
                  </w:r>
                  <w:r>
                    <w:rPr>
                      <w:spacing w:val="6"/>
                      <w:w w:val="110"/>
                    </w:rPr>
                    <w:t> </w:t>
                  </w:r>
                  <w:r>
                    <w:rPr>
                      <w:w w:val="110"/>
                    </w:rPr>
                    <w:t>administrativ;</w:t>
                  </w:r>
                </w:p>
                <w:p>
                  <w:pPr>
                    <w:pStyle w:val="BodyText"/>
                    <w:numPr>
                      <w:ilvl w:val="0"/>
                      <w:numId w:val="1"/>
                    </w:numPr>
                    <w:tabs>
                      <w:tab w:pos="446" w:val="left" w:leader="none"/>
                    </w:tabs>
                    <w:spacing w:line="271" w:lineRule="auto" w:before="109" w:after="0"/>
                    <w:ind w:left="445" w:right="171" w:hanging="307"/>
                    <w:jc w:val="left"/>
                  </w:pPr>
                  <w:r>
                    <w:rPr>
                      <w:w w:val="115"/>
                    </w:rPr>
                    <w:t>art. 491 și art. 495 din Legea nr. 227/2015 privind Codul fiscal și prevederile Legii nr. 207/2015 privind Codul de procedură</w:t>
                  </w:r>
                  <w:r>
                    <w:rPr>
                      <w:spacing w:val="-4"/>
                      <w:w w:val="115"/>
                    </w:rPr>
                    <w:t> </w:t>
                  </w:r>
                  <w:r>
                    <w:rPr>
                      <w:w w:val="115"/>
                    </w:rPr>
                    <w:t>fiscală;</w:t>
                  </w:r>
                </w:p>
                <w:p>
                  <w:pPr>
                    <w:pStyle w:val="BodyText"/>
                    <w:numPr>
                      <w:ilvl w:val="0"/>
                      <w:numId w:val="1"/>
                    </w:numPr>
                    <w:tabs>
                      <w:tab w:pos="446" w:val="left" w:leader="none"/>
                    </w:tabs>
                    <w:spacing w:line="271" w:lineRule="auto" w:before="108" w:after="0"/>
                    <w:ind w:left="445" w:right="161" w:hanging="307"/>
                    <w:jc w:val="left"/>
                  </w:pPr>
                  <w:r>
                    <w:rPr>
                      <w:w w:val="110"/>
                    </w:rPr>
                    <w:t>art. 5, alin. 1, lit.a și alin.2 , art.16, alin.2 , art. 20, alin. 1 lit. b și art. 27 din Legea 273/2006 a   finanțelor publice</w:t>
                  </w:r>
                  <w:r>
                    <w:rPr>
                      <w:spacing w:val="3"/>
                      <w:w w:val="110"/>
                    </w:rPr>
                    <w:t> </w:t>
                  </w:r>
                  <w:r>
                    <w:rPr>
                      <w:w w:val="110"/>
                    </w:rPr>
                    <w:t>locale;</w:t>
                  </w:r>
                </w:p>
                <w:p>
                  <w:pPr>
                    <w:pStyle w:val="BodyText"/>
                    <w:numPr>
                      <w:ilvl w:val="0"/>
                      <w:numId w:val="1"/>
                    </w:numPr>
                    <w:tabs>
                      <w:tab w:pos="510" w:val="left" w:leader="none"/>
                    </w:tabs>
                    <w:spacing w:line="271" w:lineRule="auto" w:before="109" w:after="0"/>
                    <w:ind w:left="445" w:right="162" w:hanging="307"/>
                    <w:jc w:val="left"/>
                  </w:pPr>
                  <w:r>
                    <w:rPr/>
                    <w:tab/>
                  </w:r>
                  <w:r>
                    <w:rPr>
                      <w:w w:val="115"/>
                    </w:rPr>
                    <w:t>Hotărârea de Guvern nr. 1/2016 pentru aprobarea Normelor metodologice de aplicare a Legii nr. 227/2015 privind Codul</w:t>
                  </w:r>
                  <w:r>
                    <w:rPr>
                      <w:spacing w:val="-4"/>
                      <w:w w:val="115"/>
                    </w:rPr>
                    <w:t> </w:t>
                  </w:r>
                  <w:r>
                    <w:rPr>
                      <w:w w:val="115"/>
                    </w:rPr>
                    <w:t>fiscal;</w:t>
                  </w:r>
                </w:p>
                <w:p>
                  <w:pPr>
                    <w:pStyle w:val="BodyText"/>
                    <w:numPr>
                      <w:ilvl w:val="0"/>
                      <w:numId w:val="1"/>
                    </w:numPr>
                    <w:tabs>
                      <w:tab w:pos="446" w:val="left" w:leader="none"/>
                    </w:tabs>
                    <w:spacing w:line="240" w:lineRule="auto" w:before="108" w:after="0"/>
                    <w:ind w:left="445" w:right="0" w:hanging="307"/>
                    <w:jc w:val="left"/>
                  </w:pPr>
                  <w:r>
                    <w:rPr>
                      <w:w w:val="115"/>
                    </w:rPr>
                    <w:t>Legea nr. 52/2003 privind transparența decizională în administrația publică</w:t>
                  </w:r>
                  <w:r>
                    <w:rPr>
                      <w:spacing w:val="-22"/>
                      <w:w w:val="115"/>
                    </w:rPr>
                    <w:t> </w:t>
                  </w:r>
                  <w:r>
                    <w:rPr>
                      <w:w w:val="115"/>
                    </w:rPr>
                    <w:t>;</w:t>
                  </w:r>
                </w:p>
              </w:txbxContent>
            </v:textbox>
            <v:fill type="solid"/>
            <w10:wrap type="topAndBottom"/>
          </v:shape>
        </w:pict>
      </w:r>
      <w:r>
        <w:rPr/>
        <w:pict>
          <v:shape style="position:absolute;margin-left:62.400002pt;margin-top:201.758209pt;width:489.8pt;height:178.15pt;mso-position-horizontal-relative:page;mso-position-vertical-relative:paragraph;z-index:-952;mso-wrap-distance-left:0;mso-wrap-distance-right:0" type="#_x0000_t202" filled="true" fillcolor="#f8f8f8" stroked="false">
            <v:textbox inset="0,0,0,0">
              <w:txbxContent>
                <w:p>
                  <w:pPr>
                    <w:spacing w:before="135"/>
                    <w:ind w:left="168" w:right="0" w:firstLine="0"/>
                    <w:jc w:val="left"/>
                    <w:rPr>
                      <w:rFonts w:ascii="Arial" w:hAnsi="Arial"/>
                      <w:b/>
                      <w:sz w:val="20"/>
                    </w:rPr>
                  </w:pPr>
                  <w:r>
                    <w:rPr>
                      <w:rFonts w:ascii="Arial" w:hAnsi="Arial"/>
                      <w:b/>
                      <w:sz w:val="20"/>
                    </w:rPr>
                    <w:t>Luând act de:</w:t>
                  </w:r>
                </w:p>
                <w:p>
                  <w:pPr>
                    <w:pStyle w:val="BodyText"/>
                    <w:spacing w:before="6"/>
                    <w:ind w:left="0"/>
                    <w:jc w:val="left"/>
                    <w:rPr>
                      <w:rFonts w:ascii="Trebuchet MS"/>
                      <w:i/>
                      <w:sz w:val="23"/>
                    </w:rPr>
                  </w:pPr>
                </w:p>
                <w:p>
                  <w:pPr>
                    <w:pStyle w:val="BodyText"/>
                    <w:numPr>
                      <w:ilvl w:val="0"/>
                      <w:numId w:val="2"/>
                    </w:numPr>
                    <w:tabs>
                      <w:tab w:pos="426" w:val="left" w:leader="none"/>
                    </w:tabs>
                    <w:spacing w:line="271" w:lineRule="auto" w:before="0" w:after="0"/>
                    <w:ind w:left="168" w:right="163" w:firstLine="0"/>
                    <w:jc w:val="left"/>
                  </w:pPr>
                  <w:r>
                    <w:rPr>
                      <w:w w:val="110"/>
                    </w:rPr>
                    <w:t>Comunicatul de presă nr. 17/14.01.2022 al Institutul Național de Statisctică publicat pe site-ul Ministerului Finanțelor Publice , referitor la rata inflației aferentă anului 2021</w:t>
                  </w:r>
                  <w:r>
                    <w:rPr>
                      <w:spacing w:val="49"/>
                      <w:w w:val="110"/>
                    </w:rPr>
                    <w:t> </w:t>
                  </w:r>
                  <w:r>
                    <w:rPr>
                      <w:w w:val="110"/>
                    </w:rPr>
                    <w:t>;</w:t>
                  </w:r>
                </w:p>
                <w:p>
                  <w:pPr>
                    <w:pStyle w:val="BodyText"/>
                    <w:numPr>
                      <w:ilvl w:val="0"/>
                      <w:numId w:val="2"/>
                    </w:numPr>
                    <w:tabs>
                      <w:tab w:pos="451" w:val="left" w:leader="none"/>
                      <w:tab w:pos="8458" w:val="left" w:leader="none"/>
                      <w:tab w:pos="9331" w:val="left" w:leader="none"/>
                    </w:tabs>
                    <w:spacing w:line="271" w:lineRule="auto" w:before="186" w:after="0"/>
                    <w:ind w:left="168" w:right="167" w:firstLine="0"/>
                    <w:jc w:val="left"/>
                  </w:pPr>
                  <w:r>
                    <w:rPr>
                      <w:w w:val="115"/>
                    </w:rPr>
                    <w:t>Referatul</w:t>
                  </w:r>
                  <w:r>
                    <w:rPr>
                      <w:spacing w:val="40"/>
                      <w:w w:val="115"/>
                    </w:rPr>
                    <w:t> </w:t>
                  </w:r>
                  <w:r>
                    <w:rPr>
                      <w:w w:val="115"/>
                    </w:rPr>
                    <w:t>de</w:t>
                  </w:r>
                  <w:r>
                    <w:rPr>
                      <w:spacing w:val="41"/>
                      <w:w w:val="115"/>
                    </w:rPr>
                    <w:t> </w:t>
                  </w:r>
                  <w:r>
                    <w:rPr>
                      <w:w w:val="115"/>
                    </w:rPr>
                    <w:t>aprobare</w:t>
                  </w:r>
                  <w:r>
                    <w:rPr>
                      <w:spacing w:val="40"/>
                      <w:w w:val="115"/>
                    </w:rPr>
                    <w:t> </w:t>
                  </w:r>
                  <w:r>
                    <w:rPr>
                      <w:w w:val="115"/>
                    </w:rPr>
                    <w:t>întocmit</w:t>
                  </w:r>
                  <w:r>
                    <w:rPr>
                      <w:spacing w:val="41"/>
                      <w:w w:val="115"/>
                    </w:rPr>
                    <w:t> </w:t>
                  </w:r>
                  <w:r>
                    <w:rPr>
                      <w:w w:val="115"/>
                    </w:rPr>
                    <w:t>de</w:t>
                  </w:r>
                  <w:r>
                    <w:rPr>
                      <w:spacing w:val="41"/>
                      <w:w w:val="115"/>
                    </w:rPr>
                    <w:t> </w:t>
                  </w:r>
                  <w:r>
                    <w:rPr>
                      <w:w w:val="115"/>
                    </w:rPr>
                    <w:t>d-l</w:t>
                  </w:r>
                  <w:r>
                    <w:rPr>
                      <w:spacing w:val="41"/>
                      <w:w w:val="115"/>
                    </w:rPr>
                    <w:t> </w:t>
                  </w:r>
                  <w:r>
                    <w:rPr>
                      <w:w w:val="115"/>
                    </w:rPr>
                    <w:t>primar</w:t>
                  </w:r>
                  <w:r>
                    <w:rPr>
                      <w:spacing w:val="42"/>
                      <w:w w:val="115"/>
                    </w:rPr>
                    <w:t> </w:t>
                  </w:r>
                  <w:r>
                    <w:rPr>
                      <w:w w:val="115"/>
                    </w:rPr>
                    <w:t>Mirică</w:t>
                  </w:r>
                  <w:r>
                    <w:rPr>
                      <w:spacing w:val="41"/>
                      <w:w w:val="115"/>
                    </w:rPr>
                    <w:t> </w:t>
                  </w:r>
                  <w:r>
                    <w:rPr>
                      <w:w w:val="115"/>
                    </w:rPr>
                    <w:t>Dodan</w:t>
                  </w:r>
                  <w:r>
                    <w:rPr>
                      <w:spacing w:val="42"/>
                      <w:w w:val="115"/>
                    </w:rPr>
                    <w:t> </w:t>
                  </w:r>
                  <w:r>
                    <w:rPr>
                      <w:w w:val="115"/>
                    </w:rPr>
                    <w:t>,</w:t>
                  </w:r>
                  <w:r>
                    <w:rPr>
                      <w:spacing w:val="42"/>
                      <w:w w:val="115"/>
                    </w:rPr>
                    <w:t> </w:t>
                  </w:r>
                  <w:r>
                    <w:rPr>
                      <w:w w:val="115"/>
                    </w:rPr>
                    <w:t>înregistrat</w:t>
                  </w:r>
                  <w:r>
                    <w:rPr>
                      <w:spacing w:val="40"/>
                      <w:w w:val="115"/>
                    </w:rPr>
                    <w:t> </w:t>
                  </w:r>
                  <w:r>
                    <w:rPr>
                      <w:w w:val="115"/>
                    </w:rPr>
                    <w:t>sub</w:t>
                  </w:r>
                  <w:r>
                    <w:rPr>
                      <w:spacing w:val="42"/>
                      <w:w w:val="115"/>
                    </w:rPr>
                    <w:t> </w:t>
                  </w:r>
                  <w:r>
                    <w:rPr>
                      <w:w w:val="115"/>
                    </w:rPr>
                    <w:t>nr.</w:t>
                    <w:tab/>
                    <w:t>188CL</w:t>
                    <w:tab/>
                  </w:r>
                  <w:r>
                    <w:rPr>
                      <w:spacing w:val="-8"/>
                      <w:w w:val="115"/>
                    </w:rPr>
                    <w:t>din </w:t>
                  </w:r>
                  <w:r>
                    <w:rPr>
                      <w:w w:val="115"/>
                    </w:rPr>
                    <w:t>9.12.2022</w:t>
                  </w:r>
                  <w:r>
                    <w:rPr>
                      <w:spacing w:val="-2"/>
                      <w:w w:val="115"/>
                    </w:rPr>
                    <w:t> </w:t>
                  </w:r>
                  <w:r>
                    <w:rPr>
                      <w:w w:val="115"/>
                    </w:rPr>
                    <w:t>;</w:t>
                  </w:r>
                </w:p>
                <w:p>
                  <w:pPr>
                    <w:pStyle w:val="BodyText"/>
                    <w:numPr>
                      <w:ilvl w:val="0"/>
                      <w:numId w:val="2"/>
                    </w:numPr>
                    <w:tabs>
                      <w:tab w:pos="375" w:val="left" w:leader="none"/>
                    </w:tabs>
                    <w:spacing w:line="240" w:lineRule="auto" w:before="185" w:after="0"/>
                    <w:ind w:left="374" w:right="0" w:hanging="206"/>
                    <w:jc w:val="left"/>
                  </w:pPr>
                  <w:r>
                    <w:rPr>
                      <w:w w:val="115"/>
                    </w:rPr>
                    <w:t>Proiectul de hotărâre nr. 84/9.12.2022 inițiat de d-l primar Mirică</w:t>
                  </w:r>
                  <w:r>
                    <w:rPr>
                      <w:spacing w:val="-32"/>
                      <w:w w:val="115"/>
                    </w:rPr>
                    <w:t> </w:t>
                  </w:r>
                  <w:r>
                    <w:rPr>
                      <w:w w:val="115"/>
                    </w:rPr>
                    <w:t>Dodan;</w:t>
                  </w:r>
                </w:p>
                <w:p>
                  <w:pPr>
                    <w:pStyle w:val="BodyText"/>
                    <w:numPr>
                      <w:ilvl w:val="0"/>
                      <w:numId w:val="2"/>
                    </w:numPr>
                    <w:tabs>
                      <w:tab w:pos="403" w:val="left" w:leader="none"/>
                    </w:tabs>
                    <w:spacing w:line="271" w:lineRule="auto" w:before="216" w:after="0"/>
                    <w:ind w:left="168" w:right="268" w:firstLine="0"/>
                    <w:jc w:val="left"/>
                  </w:pPr>
                  <w:r>
                    <w:rPr>
                      <w:w w:val="115"/>
                    </w:rPr>
                    <w:t>Raportul</w:t>
                  </w:r>
                  <w:r>
                    <w:rPr>
                      <w:spacing w:val="-10"/>
                      <w:w w:val="115"/>
                    </w:rPr>
                    <w:t> </w:t>
                  </w:r>
                  <w:r>
                    <w:rPr>
                      <w:w w:val="115"/>
                    </w:rPr>
                    <w:t>de</w:t>
                  </w:r>
                  <w:r>
                    <w:rPr>
                      <w:spacing w:val="-10"/>
                      <w:w w:val="115"/>
                    </w:rPr>
                    <w:t> </w:t>
                  </w:r>
                  <w:r>
                    <w:rPr>
                      <w:w w:val="115"/>
                    </w:rPr>
                    <w:t>specialitate</w:t>
                  </w:r>
                  <w:r>
                    <w:rPr>
                      <w:spacing w:val="-9"/>
                      <w:w w:val="115"/>
                    </w:rPr>
                    <w:t> </w:t>
                  </w:r>
                  <w:r>
                    <w:rPr>
                      <w:w w:val="115"/>
                    </w:rPr>
                    <w:t>al</w:t>
                  </w:r>
                  <w:r>
                    <w:rPr>
                      <w:spacing w:val="-10"/>
                      <w:w w:val="115"/>
                    </w:rPr>
                    <w:t> </w:t>
                  </w:r>
                  <w:r>
                    <w:rPr>
                      <w:w w:val="115"/>
                    </w:rPr>
                    <w:t>Compartimentului</w:t>
                  </w:r>
                  <w:r>
                    <w:rPr>
                      <w:spacing w:val="-9"/>
                      <w:w w:val="115"/>
                    </w:rPr>
                    <w:t> </w:t>
                  </w:r>
                  <w:r>
                    <w:rPr>
                      <w:w w:val="115"/>
                    </w:rPr>
                    <w:t>finaciar-</w:t>
                  </w:r>
                  <w:r>
                    <w:rPr>
                      <w:spacing w:val="-10"/>
                      <w:w w:val="115"/>
                    </w:rPr>
                    <w:t> </w:t>
                  </w:r>
                  <w:r>
                    <w:rPr>
                      <w:w w:val="115"/>
                    </w:rPr>
                    <w:t>contabil.</w:t>
                  </w:r>
                  <w:r>
                    <w:rPr>
                      <w:spacing w:val="-9"/>
                      <w:w w:val="115"/>
                    </w:rPr>
                    <w:t> </w:t>
                  </w:r>
                  <w:r>
                    <w:rPr>
                      <w:w w:val="115"/>
                    </w:rPr>
                    <w:t>Taxe</w:t>
                  </w:r>
                  <w:r>
                    <w:rPr>
                      <w:spacing w:val="-10"/>
                      <w:w w:val="115"/>
                    </w:rPr>
                    <w:t> </w:t>
                  </w:r>
                  <w:r>
                    <w:rPr>
                      <w:w w:val="115"/>
                    </w:rPr>
                    <w:t>și</w:t>
                  </w:r>
                  <w:r>
                    <w:rPr>
                      <w:spacing w:val="-9"/>
                      <w:w w:val="115"/>
                    </w:rPr>
                    <w:t> </w:t>
                  </w:r>
                  <w:r>
                    <w:rPr>
                      <w:w w:val="115"/>
                    </w:rPr>
                    <w:t>impozite,</w:t>
                  </w:r>
                  <w:r>
                    <w:rPr>
                      <w:spacing w:val="-10"/>
                      <w:w w:val="115"/>
                    </w:rPr>
                    <w:t> </w:t>
                  </w:r>
                  <w:r>
                    <w:rPr>
                      <w:w w:val="115"/>
                    </w:rPr>
                    <w:t>înregistrat</w:t>
                  </w:r>
                  <w:r>
                    <w:rPr>
                      <w:spacing w:val="-9"/>
                      <w:w w:val="115"/>
                    </w:rPr>
                    <w:t> </w:t>
                  </w:r>
                  <w:r>
                    <w:rPr>
                      <w:w w:val="115"/>
                    </w:rPr>
                    <w:t>sub</w:t>
                  </w:r>
                  <w:r>
                    <w:rPr>
                      <w:spacing w:val="-10"/>
                      <w:w w:val="115"/>
                    </w:rPr>
                    <w:t> </w:t>
                  </w:r>
                  <w:r>
                    <w:rPr>
                      <w:w w:val="115"/>
                    </w:rPr>
                    <w:t>nr. 189 CL din 9.12.2021</w:t>
                  </w:r>
                  <w:r>
                    <w:rPr>
                      <w:spacing w:val="-5"/>
                      <w:w w:val="115"/>
                    </w:rPr>
                    <w:t> </w:t>
                  </w:r>
                  <w:r>
                    <w:rPr>
                      <w:w w:val="115"/>
                    </w:rPr>
                    <w:t>;</w:t>
                  </w:r>
                </w:p>
                <w:p>
                  <w:pPr>
                    <w:pStyle w:val="BodyText"/>
                    <w:numPr>
                      <w:ilvl w:val="0"/>
                      <w:numId w:val="2"/>
                    </w:numPr>
                    <w:tabs>
                      <w:tab w:pos="392" w:val="left" w:leader="none"/>
                    </w:tabs>
                    <w:spacing w:line="240" w:lineRule="auto" w:before="186" w:after="0"/>
                    <w:ind w:left="391" w:right="0" w:hanging="223"/>
                    <w:jc w:val="left"/>
                  </w:pPr>
                  <w:r>
                    <w:rPr>
                      <w:w w:val="115"/>
                    </w:rPr>
                    <w:t>avizele comisiilor de specialitate din cadrul Consiliului Local al comunei</w:t>
                  </w:r>
                  <w:r>
                    <w:rPr>
                      <w:spacing w:val="-27"/>
                      <w:w w:val="115"/>
                    </w:rPr>
                    <w:t> </w:t>
                  </w:r>
                  <w:r>
                    <w:rPr>
                      <w:w w:val="115"/>
                    </w:rPr>
                    <w:t>Costuleni;</w:t>
                  </w:r>
                </w:p>
              </w:txbxContent>
            </v:textbox>
            <v:fill type="solid"/>
            <w10:wrap type="topAndBottom"/>
          </v:shape>
        </w:pict>
      </w:r>
    </w:p>
    <w:p>
      <w:pPr>
        <w:pStyle w:val="BodyText"/>
        <w:spacing w:before="10"/>
        <w:ind w:left="0"/>
        <w:jc w:val="left"/>
        <w:rPr>
          <w:rFonts w:ascii="Trebuchet MS"/>
          <w:i/>
          <w:sz w:val="5"/>
        </w:rPr>
      </w:pPr>
    </w:p>
    <w:p>
      <w:pPr>
        <w:pStyle w:val="BodyText"/>
        <w:spacing w:before="1"/>
        <w:ind w:left="0"/>
        <w:jc w:val="left"/>
        <w:rPr>
          <w:rFonts w:ascii="Trebuchet MS"/>
          <w:i/>
          <w:sz w:val="6"/>
        </w:rPr>
      </w:pPr>
    </w:p>
    <w:p>
      <w:pPr>
        <w:pStyle w:val="BodyText"/>
        <w:spacing w:line="271" w:lineRule="auto" w:before="123"/>
        <w:ind w:left="273" w:right="285"/>
        <w:jc w:val="center"/>
      </w:pPr>
      <w:r>
        <w:rPr>
          <w:w w:val="110"/>
        </w:rPr>
        <w:t>În temeiul prevederilor art. 139 alin. (1) și alin. (3) lit. c) coroborat cu art. 196 alin. (1) lit. a) din Ordonanța de urgență a Guvernului nr. 57/2019 privind Codul administrativ, cu modificările și completările    ulterioare,</w:t>
      </w:r>
    </w:p>
    <w:p>
      <w:pPr>
        <w:spacing w:before="147"/>
        <w:ind w:left="1180" w:right="1172" w:firstLine="0"/>
        <w:jc w:val="center"/>
        <w:rPr>
          <w:rFonts w:ascii="Trebuchet MS"/>
          <w:sz w:val="26"/>
        </w:rPr>
      </w:pPr>
      <w:r>
        <w:rPr>
          <w:rFonts w:ascii="Trebuchet MS"/>
          <w:w w:val="105"/>
          <w:sz w:val="26"/>
        </w:rPr>
        <w:t>CONSILIUL LOCAL AL COMUNEI COSTULENI</w:t>
      </w:r>
    </w:p>
    <w:p>
      <w:pPr>
        <w:pStyle w:val="BodyText"/>
        <w:spacing w:before="44"/>
        <w:ind w:left="1180" w:right="1180"/>
        <w:jc w:val="center"/>
      </w:pPr>
      <w:r>
        <w:rPr>
          <w:w w:val="115"/>
        </w:rPr>
        <w:t>adoptă prezenta hotărâre:</w:t>
      </w:r>
    </w:p>
    <w:p>
      <w:pPr>
        <w:pStyle w:val="BodyText"/>
        <w:spacing w:before="6"/>
        <w:ind w:left="0"/>
        <w:jc w:val="left"/>
        <w:rPr>
          <w:sz w:val="21"/>
        </w:rPr>
      </w:pPr>
    </w:p>
    <w:p>
      <w:pPr>
        <w:tabs>
          <w:tab w:pos="7875" w:val="left" w:leader="none"/>
        </w:tabs>
        <w:spacing w:line="271" w:lineRule="auto" w:before="123"/>
        <w:ind w:left="107" w:right="107" w:firstLine="82"/>
        <w:jc w:val="left"/>
        <w:rPr>
          <w:sz w:val="20"/>
        </w:rPr>
      </w:pPr>
      <w:r>
        <w:rPr>
          <w:w w:val="105"/>
          <w:sz w:val="20"/>
        </w:rPr>
        <w:t>Art. </w:t>
      </w:r>
      <w:r>
        <w:rPr>
          <w:rFonts w:ascii="Arial" w:hAnsi="Arial"/>
          <w:b/>
          <w:spacing w:val="7"/>
          <w:w w:val="105"/>
          <w:sz w:val="20"/>
        </w:rPr>
        <w:t>1. </w:t>
      </w:r>
      <w:r>
        <w:rPr>
          <w:w w:val="105"/>
          <w:sz w:val="20"/>
        </w:rPr>
        <w:t>Pentru    impozitul  pe  clădiri  se  utilizează</w:t>
      </w:r>
      <w:r>
        <w:rPr>
          <w:rFonts w:ascii="Arial" w:hAnsi="Arial"/>
          <w:b/>
          <w:w w:val="105"/>
          <w:sz w:val="20"/>
        </w:rPr>
        <w:t>Rangul IV, zona A </w:t>
      </w:r>
      <w:r>
        <w:rPr>
          <w:rFonts w:ascii="Arial" w:hAnsi="Arial"/>
          <w:b/>
          <w:spacing w:val="2"/>
          <w:w w:val="105"/>
          <w:sz w:val="20"/>
        </w:rPr>
        <w:t> </w:t>
      </w:r>
      <w:r>
        <w:rPr>
          <w:rFonts w:ascii="Arial" w:hAnsi="Arial"/>
          <w:b/>
          <w:w w:val="105"/>
          <w:sz w:val="20"/>
        </w:rPr>
        <w:t>pentru</w:t>
      </w:r>
      <w:r>
        <w:rPr>
          <w:rFonts w:ascii="Arial" w:hAnsi="Arial"/>
          <w:b/>
          <w:spacing w:val="29"/>
          <w:w w:val="105"/>
          <w:sz w:val="20"/>
        </w:rPr>
        <w:t> </w:t>
      </w:r>
      <w:r>
        <w:rPr>
          <w:rFonts w:ascii="Arial" w:hAnsi="Arial"/>
          <w:b/>
          <w:w w:val="105"/>
          <w:sz w:val="20"/>
        </w:rPr>
        <w:t>satul</w:t>
        <w:tab/>
        <w:t>Costuleni</w:t>
      </w:r>
      <w:r>
        <w:rPr>
          <w:rFonts w:ascii="Arial" w:hAnsi="Arial"/>
          <w:b/>
          <w:spacing w:val="-20"/>
          <w:w w:val="105"/>
          <w:sz w:val="20"/>
        </w:rPr>
        <w:t> </w:t>
      </w:r>
      <w:r>
        <w:rPr>
          <w:w w:val="105"/>
          <w:sz w:val="20"/>
        </w:rPr>
        <w:t>și</w:t>
      </w:r>
      <w:r>
        <w:rPr>
          <w:spacing w:val="-30"/>
          <w:w w:val="105"/>
          <w:sz w:val="20"/>
        </w:rPr>
        <w:t> </w:t>
      </w:r>
      <w:r>
        <w:rPr>
          <w:rFonts w:ascii="Arial" w:hAnsi="Arial"/>
          <w:b/>
          <w:w w:val="105"/>
          <w:sz w:val="20"/>
        </w:rPr>
        <w:t>rangul</w:t>
      </w:r>
      <w:r>
        <w:rPr>
          <w:rFonts w:ascii="Arial" w:hAnsi="Arial"/>
          <w:b/>
          <w:spacing w:val="-13"/>
          <w:w w:val="105"/>
          <w:sz w:val="20"/>
        </w:rPr>
        <w:t> </w:t>
      </w:r>
      <w:r>
        <w:rPr>
          <w:rFonts w:ascii="Arial" w:hAnsi="Arial"/>
          <w:b/>
          <w:w w:val="105"/>
          <w:sz w:val="20"/>
        </w:rPr>
        <w:t>V, Zona A pentru satele componente </w:t>
      </w:r>
      <w:r>
        <w:rPr>
          <w:w w:val="105"/>
          <w:sz w:val="20"/>
        </w:rPr>
        <w:t>ale comunei: Covasna, Cozia și Hilița</w:t>
      </w:r>
      <w:r>
        <w:rPr>
          <w:spacing w:val="7"/>
          <w:w w:val="105"/>
          <w:sz w:val="20"/>
        </w:rPr>
        <w:t> </w:t>
      </w:r>
      <w:r>
        <w:rPr>
          <w:w w:val="105"/>
          <w:sz w:val="20"/>
        </w:rPr>
        <w:t>.</w:t>
      </w:r>
    </w:p>
    <w:p>
      <w:pPr>
        <w:pStyle w:val="Heading2"/>
        <w:spacing w:line="288" w:lineRule="auto" w:before="111"/>
        <w:ind w:firstLine="354"/>
      </w:pPr>
      <w:r>
        <w:rPr/>
        <w:t>2. Impozitele și taxele locale, precum și taxele speciale, pe anul 2023 se aprobă și se indexează cu 5,1%.</w:t>
      </w:r>
    </w:p>
    <w:p>
      <w:pPr>
        <w:pStyle w:val="ListParagraph"/>
        <w:numPr>
          <w:ilvl w:val="0"/>
          <w:numId w:val="3"/>
        </w:numPr>
        <w:tabs>
          <w:tab w:pos="586" w:val="left" w:leader="none"/>
        </w:tabs>
        <w:spacing w:line="240" w:lineRule="auto" w:before="108" w:after="0"/>
        <w:ind w:left="585" w:right="0" w:hanging="167"/>
        <w:jc w:val="left"/>
        <w:rPr>
          <w:rFonts w:ascii="Arial" w:hAnsi="Arial"/>
          <w:b/>
          <w:sz w:val="20"/>
        </w:rPr>
      </w:pPr>
      <w:r>
        <w:rPr>
          <w:rFonts w:ascii="Arial" w:hAnsi="Arial"/>
          <w:b/>
          <w:sz w:val="20"/>
        </w:rPr>
        <w:t>IMPOZITUL PE CLĂDIRI PERSOANE FIZICE</w:t>
      </w:r>
      <w:r>
        <w:rPr>
          <w:rFonts w:ascii="Arial" w:hAnsi="Arial"/>
          <w:b/>
          <w:spacing w:val="16"/>
          <w:sz w:val="20"/>
        </w:rPr>
        <w:t> </w:t>
      </w:r>
      <w:r>
        <w:rPr>
          <w:rFonts w:ascii="Arial" w:hAnsi="Arial"/>
          <w:b/>
          <w:sz w:val="20"/>
        </w:rPr>
        <w:t>:</w:t>
      </w:r>
    </w:p>
    <w:p>
      <w:pPr>
        <w:pStyle w:val="ListParagraph"/>
        <w:numPr>
          <w:ilvl w:val="1"/>
          <w:numId w:val="3"/>
        </w:numPr>
        <w:tabs>
          <w:tab w:pos="1033" w:val="left" w:leader="none"/>
        </w:tabs>
        <w:spacing w:line="271" w:lineRule="auto" w:before="151" w:after="0"/>
        <w:ind w:left="108" w:right="116" w:firstLine="699"/>
        <w:jc w:val="left"/>
        <w:rPr>
          <w:sz w:val="20"/>
        </w:rPr>
      </w:pPr>
      <w:r>
        <w:rPr>
          <w:w w:val="115"/>
          <w:sz w:val="20"/>
        </w:rPr>
        <w:t>În cazul persoanelor fizice, impozitul pe clădiri rezidenţiale se calculează prin aplicarea cotei de impozitare de 0,15% la valoarea impozabilă a</w:t>
      </w:r>
      <w:r>
        <w:rPr>
          <w:spacing w:val="-10"/>
          <w:w w:val="115"/>
          <w:sz w:val="20"/>
        </w:rPr>
        <w:t> </w:t>
      </w:r>
      <w:r>
        <w:rPr>
          <w:w w:val="115"/>
          <w:sz w:val="20"/>
        </w:rPr>
        <w:t>clădirii.</w:t>
      </w:r>
    </w:p>
    <w:p>
      <w:pPr>
        <w:pStyle w:val="ListParagraph"/>
        <w:numPr>
          <w:ilvl w:val="1"/>
          <w:numId w:val="3"/>
        </w:numPr>
        <w:tabs>
          <w:tab w:pos="1383" w:val="left" w:leader="none"/>
        </w:tabs>
        <w:spacing w:line="271" w:lineRule="auto" w:before="109" w:after="0"/>
        <w:ind w:left="108" w:right="114" w:firstLine="1105"/>
        <w:jc w:val="left"/>
        <w:rPr>
          <w:sz w:val="18"/>
        </w:rPr>
      </w:pPr>
      <w:r>
        <w:rPr>
          <w:w w:val="115"/>
          <w:sz w:val="20"/>
        </w:rPr>
        <w:t>Valoarea impozabilă a clădirii, exprimată în lei, se determină prin înmulţirea suprafeţei construite</w:t>
      </w:r>
      <w:r>
        <w:rPr>
          <w:spacing w:val="18"/>
          <w:w w:val="115"/>
          <w:sz w:val="20"/>
        </w:rPr>
        <w:t> </w:t>
      </w:r>
      <w:r>
        <w:rPr>
          <w:w w:val="115"/>
          <w:sz w:val="20"/>
        </w:rPr>
        <w:t>desfăşurate</w:t>
      </w:r>
      <w:r>
        <w:rPr>
          <w:spacing w:val="19"/>
          <w:w w:val="115"/>
          <w:sz w:val="20"/>
        </w:rPr>
        <w:t> </w:t>
      </w:r>
      <w:r>
        <w:rPr>
          <w:w w:val="115"/>
          <w:sz w:val="20"/>
        </w:rPr>
        <w:t>a</w:t>
      </w:r>
      <w:r>
        <w:rPr>
          <w:spacing w:val="19"/>
          <w:w w:val="115"/>
          <w:sz w:val="20"/>
        </w:rPr>
        <w:t> </w:t>
      </w:r>
      <w:r>
        <w:rPr>
          <w:w w:val="115"/>
          <w:sz w:val="20"/>
        </w:rPr>
        <w:t>acesteia,</w:t>
      </w:r>
      <w:r>
        <w:rPr>
          <w:spacing w:val="18"/>
          <w:w w:val="115"/>
          <w:sz w:val="20"/>
        </w:rPr>
        <w:t> </w:t>
      </w:r>
      <w:r>
        <w:rPr>
          <w:w w:val="115"/>
          <w:sz w:val="20"/>
        </w:rPr>
        <w:t>exprimate</w:t>
      </w:r>
      <w:r>
        <w:rPr>
          <w:spacing w:val="19"/>
          <w:w w:val="115"/>
          <w:sz w:val="20"/>
        </w:rPr>
        <w:t> </w:t>
      </w:r>
      <w:r>
        <w:rPr>
          <w:w w:val="115"/>
          <w:sz w:val="20"/>
        </w:rPr>
        <w:t>în</w:t>
      </w:r>
      <w:r>
        <w:rPr>
          <w:spacing w:val="19"/>
          <w:w w:val="115"/>
          <w:sz w:val="20"/>
        </w:rPr>
        <w:t> </w:t>
      </w:r>
      <w:r>
        <w:rPr>
          <w:w w:val="115"/>
          <w:sz w:val="20"/>
        </w:rPr>
        <w:t>metri</w:t>
      </w:r>
      <w:r>
        <w:rPr>
          <w:spacing w:val="19"/>
          <w:w w:val="115"/>
          <w:sz w:val="20"/>
        </w:rPr>
        <w:t> </w:t>
      </w:r>
      <w:r>
        <w:rPr>
          <w:w w:val="115"/>
          <w:sz w:val="20"/>
        </w:rPr>
        <w:t>pătraţi,</w:t>
      </w:r>
      <w:r>
        <w:rPr>
          <w:spacing w:val="18"/>
          <w:w w:val="115"/>
          <w:sz w:val="20"/>
        </w:rPr>
        <w:t> </w:t>
      </w:r>
      <w:r>
        <w:rPr>
          <w:w w:val="115"/>
          <w:sz w:val="20"/>
        </w:rPr>
        <w:t>cu</w:t>
      </w:r>
      <w:r>
        <w:rPr>
          <w:spacing w:val="19"/>
          <w:w w:val="115"/>
          <w:sz w:val="20"/>
        </w:rPr>
        <w:t> </w:t>
      </w:r>
      <w:r>
        <w:rPr>
          <w:w w:val="115"/>
          <w:sz w:val="20"/>
        </w:rPr>
        <w:t>valoarea</w:t>
      </w:r>
      <w:r>
        <w:rPr>
          <w:spacing w:val="19"/>
          <w:w w:val="115"/>
          <w:sz w:val="20"/>
        </w:rPr>
        <w:t> </w:t>
      </w:r>
      <w:r>
        <w:rPr>
          <w:w w:val="115"/>
          <w:sz w:val="20"/>
        </w:rPr>
        <w:t>impozabilă</w:t>
      </w:r>
      <w:r>
        <w:rPr>
          <w:spacing w:val="18"/>
          <w:w w:val="115"/>
          <w:sz w:val="20"/>
        </w:rPr>
        <w:t> </w:t>
      </w:r>
      <w:r>
        <w:rPr>
          <w:w w:val="115"/>
          <w:sz w:val="20"/>
        </w:rPr>
        <w:t>corespunzătoare,</w:t>
      </w:r>
    </w:p>
    <w:p>
      <w:pPr>
        <w:spacing w:after="0" w:line="271" w:lineRule="auto"/>
        <w:jc w:val="left"/>
        <w:rPr>
          <w:sz w:val="18"/>
        </w:rPr>
        <w:sectPr>
          <w:footerReference w:type="default" r:id="rId5"/>
          <w:type w:val="continuous"/>
          <w:pgSz w:w="11900" w:h="16840"/>
          <w:pgMar w:footer="341" w:top="600" w:bottom="540" w:left="1140" w:right="740"/>
          <w:pgNumType w:start="1"/>
        </w:sectPr>
      </w:pPr>
    </w:p>
    <w:p>
      <w:pPr>
        <w:pStyle w:val="BodyText"/>
        <w:spacing w:before="100"/>
        <w:ind w:left="107"/>
        <w:jc w:val="left"/>
      </w:pPr>
      <w:r>
        <w:rPr>
          <w:w w:val="115"/>
        </w:rPr>
        <w:t>exprimată în lei/mp, din tabelul următor:</w:t>
      </w:r>
    </w:p>
    <w:p>
      <w:pPr>
        <w:pStyle w:val="BodyText"/>
        <w:spacing w:before="9"/>
        <w:ind w:left="0"/>
        <w:jc w:val="left"/>
        <w:rPr>
          <w:sz w:val="15"/>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4652"/>
        <w:gridCol w:w="3808"/>
        <w:gridCol w:w="1321"/>
      </w:tblGrid>
      <w:tr>
        <w:trPr>
          <w:trHeight w:val="640" w:hRule="atLeast"/>
        </w:trPr>
        <w:tc>
          <w:tcPr>
            <w:tcW w:w="4652" w:type="dxa"/>
            <w:vMerge w:val="restart"/>
          </w:tcPr>
          <w:p>
            <w:pPr>
              <w:pStyle w:val="TableParagraph"/>
              <w:spacing w:before="71"/>
              <w:rPr>
                <w:rFonts w:ascii="Arial" w:hAnsi="Arial"/>
                <w:b/>
                <w:sz w:val="20"/>
              </w:rPr>
            </w:pPr>
            <w:r>
              <w:rPr>
                <w:rFonts w:ascii="Arial" w:hAnsi="Arial"/>
                <w:b/>
                <w:sz w:val="20"/>
              </w:rPr>
              <w:t>Tipul clădirii</w:t>
            </w:r>
          </w:p>
        </w:tc>
        <w:tc>
          <w:tcPr>
            <w:tcW w:w="5129" w:type="dxa"/>
            <w:gridSpan w:val="2"/>
          </w:tcPr>
          <w:p>
            <w:pPr>
              <w:pStyle w:val="TableParagraph"/>
              <w:spacing w:line="270" w:lineRule="atLeast" w:before="31"/>
              <w:ind w:left="113" w:right="2527"/>
              <w:rPr>
                <w:rFonts w:ascii="Arial" w:hAnsi="Arial"/>
                <w:b/>
                <w:sz w:val="20"/>
              </w:rPr>
            </w:pPr>
            <w:r>
              <w:rPr>
                <w:rFonts w:ascii="Arial" w:hAnsi="Arial"/>
                <w:b/>
                <w:sz w:val="20"/>
              </w:rPr>
              <w:t>Valoare impozabilă </w:t>
            </w:r>
            <w:r>
              <w:rPr>
                <w:rFonts w:ascii="Arial" w:hAnsi="Arial"/>
                <w:b/>
                <w:w w:val="105"/>
                <w:sz w:val="20"/>
              </w:rPr>
              <w:t>Lei/mp</w:t>
            </w:r>
          </w:p>
        </w:tc>
      </w:tr>
      <w:tr>
        <w:trPr>
          <w:trHeight w:val="2022" w:hRule="atLeast"/>
        </w:trPr>
        <w:tc>
          <w:tcPr>
            <w:tcW w:w="4652" w:type="dxa"/>
            <w:vMerge/>
            <w:tcBorders>
              <w:top w:val="nil"/>
            </w:tcBorders>
          </w:tcPr>
          <w:p>
            <w:pPr>
              <w:rPr>
                <w:sz w:val="2"/>
                <w:szCs w:val="2"/>
              </w:rPr>
            </w:pPr>
          </w:p>
        </w:tc>
        <w:tc>
          <w:tcPr>
            <w:tcW w:w="3808" w:type="dxa"/>
          </w:tcPr>
          <w:p>
            <w:pPr>
              <w:pStyle w:val="TableParagraph"/>
              <w:spacing w:line="288" w:lineRule="auto" w:before="71"/>
              <w:ind w:left="113" w:right="2521"/>
              <w:rPr>
                <w:rFonts w:ascii="Arial"/>
                <w:b/>
                <w:sz w:val="20"/>
              </w:rPr>
            </w:pPr>
            <w:r>
              <w:rPr>
                <w:rFonts w:ascii="Arial"/>
                <w:b/>
                <w:sz w:val="20"/>
              </w:rPr>
              <w:t>Cu instalatii de apa, canalizare, electrice,</w:t>
            </w:r>
          </w:p>
          <w:p>
            <w:pPr>
              <w:pStyle w:val="TableParagraph"/>
              <w:spacing w:line="288" w:lineRule="auto" w:before="1"/>
              <w:ind w:left="113" w:right="2021"/>
              <w:rPr>
                <w:rFonts w:ascii="Arial"/>
                <w:b/>
                <w:sz w:val="20"/>
              </w:rPr>
            </w:pPr>
            <w:r>
              <w:rPr>
                <w:rFonts w:ascii="Arial"/>
                <w:b/>
                <w:sz w:val="20"/>
              </w:rPr>
              <w:t>incalzire( conditii cumulative)</w:t>
            </w:r>
          </w:p>
        </w:tc>
        <w:tc>
          <w:tcPr>
            <w:tcW w:w="1321" w:type="dxa"/>
          </w:tcPr>
          <w:p>
            <w:pPr>
              <w:pStyle w:val="TableParagraph"/>
              <w:spacing w:line="288" w:lineRule="auto" w:before="71"/>
              <w:ind w:right="146"/>
              <w:rPr>
                <w:rFonts w:ascii="Arial"/>
                <w:b/>
                <w:sz w:val="20"/>
              </w:rPr>
            </w:pPr>
            <w:r>
              <w:rPr>
                <w:rFonts w:ascii="Arial"/>
                <w:b/>
                <w:sz w:val="20"/>
              </w:rPr>
              <w:t>Fara instalatii de apa, canalizare, electrice, incalzire</w:t>
            </w:r>
          </w:p>
        </w:tc>
      </w:tr>
      <w:tr>
        <w:trPr>
          <w:trHeight w:val="1192" w:hRule="atLeast"/>
        </w:trPr>
        <w:tc>
          <w:tcPr>
            <w:tcW w:w="4652" w:type="dxa"/>
          </w:tcPr>
          <w:p>
            <w:pPr>
              <w:pStyle w:val="TableParagraph"/>
              <w:spacing w:line="270" w:lineRule="atLeast" w:before="31"/>
              <w:ind w:right="539"/>
              <w:rPr>
                <w:rFonts w:ascii="Arial"/>
                <w:b/>
                <w:sz w:val="20"/>
              </w:rPr>
            </w:pPr>
            <w:r>
              <w:rPr>
                <w:rFonts w:ascii="Arial"/>
                <w:b/>
                <w:w w:val="105"/>
                <w:sz w:val="20"/>
              </w:rPr>
              <w:t>1. Cladire cu cadre din beton armat, cu pereti</w:t>
            </w:r>
            <w:r>
              <w:rPr>
                <w:rFonts w:ascii="Arial"/>
                <w:b/>
                <w:spacing w:val="-23"/>
                <w:w w:val="105"/>
                <w:sz w:val="20"/>
              </w:rPr>
              <w:t> </w:t>
            </w:r>
            <w:r>
              <w:rPr>
                <w:rFonts w:ascii="Arial"/>
                <w:b/>
                <w:w w:val="105"/>
                <w:sz w:val="20"/>
              </w:rPr>
              <w:t>exteriori</w:t>
            </w:r>
            <w:r>
              <w:rPr>
                <w:rFonts w:ascii="Arial"/>
                <w:b/>
                <w:spacing w:val="-23"/>
                <w:w w:val="105"/>
                <w:sz w:val="20"/>
              </w:rPr>
              <w:t> </w:t>
            </w:r>
            <w:r>
              <w:rPr>
                <w:rFonts w:ascii="Arial"/>
                <w:b/>
                <w:w w:val="105"/>
                <w:sz w:val="20"/>
              </w:rPr>
              <w:t>din</w:t>
            </w:r>
            <w:r>
              <w:rPr>
                <w:rFonts w:ascii="Arial"/>
                <w:b/>
                <w:spacing w:val="-22"/>
                <w:w w:val="105"/>
                <w:sz w:val="20"/>
              </w:rPr>
              <w:t> </w:t>
            </w:r>
            <w:r>
              <w:rPr>
                <w:rFonts w:ascii="Arial"/>
                <w:b/>
                <w:w w:val="105"/>
                <w:sz w:val="20"/>
              </w:rPr>
              <w:t>caramida</w:t>
            </w:r>
            <w:r>
              <w:rPr>
                <w:rFonts w:ascii="Arial"/>
                <w:b/>
                <w:spacing w:val="-23"/>
                <w:w w:val="105"/>
                <w:sz w:val="20"/>
              </w:rPr>
              <w:t> </w:t>
            </w:r>
            <w:r>
              <w:rPr>
                <w:rFonts w:ascii="Arial"/>
                <w:b/>
                <w:w w:val="105"/>
                <w:sz w:val="20"/>
              </w:rPr>
              <w:t>arsa</w:t>
            </w:r>
            <w:r>
              <w:rPr>
                <w:rFonts w:ascii="Arial"/>
                <w:b/>
                <w:spacing w:val="-22"/>
                <w:w w:val="105"/>
                <w:sz w:val="20"/>
              </w:rPr>
              <w:t> </w:t>
            </w:r>
            <w:r>
              <w:rPr>
                <w:rFonts w:ascii="Arial"/>
                <w:b/>
                <w:w w:val="105"/>
                <w:sz w:val="20"/>
              </w:rPr>
              <w:t>sau</w:t>
            </w:r>
            <w:r>
              <w:rPr>
                <w:rFonts w:ascii="Arial"/>
                <w:b/>
                <w:spacing w:val="-23"/>
                <w:w w:val="105"/>
                <w:sz w:val="20"/>
              </w:rPr>
              <w:t> </w:t>
            </w:r>
            <w:r>
              <w:rPr>
                <w:rFonts w:ascii="Arial"/>
                <w:b/>
                <w:w w:val="105"/>
                <w:sz w:val="20"/>
              </w:rPr>
              <w:t>din orice alte materiale rezultate in urma unui</w:t>
            </w:r>
            <w:r>
              <w:rPr>
                <w:rFonts w:ascii="Arial"/>
                <w:b/>
                <w:spacing w:val="-12"/>
                <w:w w:val="105"/>
                <w:sz w:val="20"/>
              </w:rPr>
              <w:t> </w:t>
            </w:r>
            <w:r>
              <w:rPr>
                <w:rFonts w:ascii="Arial"/>
                <w:b/>
                <w:w w:val="105"/>
                <w:sz w:val="20"/>
              </w:rPr>
              <w:t>tratament</w:t>
            </w:r>
            <w:r>
              <w:rPr>
                <w:rFonts w:ascii="Arial"/>
                <w:b/>
                <w:spacing w:val="-12"/>
                <w:w w:val="105"/>
                <w:sz w:val="20"/>
              </w:rPr>
              <w:t> </w:t>
            </w:r>
            <w:r>
              <w:rPr>
                <w:rFonts w:ascii="Arial"/>
                <w:b/>
                <w:w w:val="105"/>
                <w:sz w:val="20"/>
              </w:rPr>
              <w:t>termic</w:t>
            </w:r>
            <w:r>
              <w:rPr>
                <w:rFonts w:ascii="Arial"/>
                <w:b/>
                <w:spacing w:val="-11"/>
                <w:w w:val="105"/>
                <w:sz w:val="20"/>
              </w:rPr>
              <w:t> </w:t>
            </w:r>
            <w:r>
              <w:rPr>
                <w:rFonts w:ascii="Arial"/>
                <w:b/>
                <w:w w:val="105"/>
                <w:sz w:val="20"/>
              </w:rPr>
              <w:t>si/sau</w:t>
            </w:r>
            <w:r>
              <w:rPr>
                <w:rFonts w:ascii="Arial"/>
                <w:b/>
                <w:spacing w:val="-12"/>
                <w:w w:val="105"/>
                <w:sz w:val="20"/>
              </w:rPr>
              <w:t> </w:t>
            </w:r>
            <w:r>
              <w:rPr>
                <w:rFonts w:ascii="Arial"/>
                <w:b/>
                <w:w w:val="105"/>
                <w:sz w:val="20"/>
              </w:rPr>
              <w:t>chimic</w:t>
            </w:r>
          </w:p>
        </w:tc>
        <w:tc>
          <w:tcPr>
            <w:tcW w:w="3808" w:type="dxa"/>
          </w:tcPr>
          <w:p>
            <w:pPr>
              <w:pStyle w:val="TableParagraph"/>
              <w:spacing w:before="71"/>
              <w:ind w:left="164"/>
              <w:rPr>
                <w:rFonts w:ascii="Arial"/>
                <w:b/>
                <w:sz w:val="20"/>
              </w:rPr>
            </w:pPr>
            <w:r>
              <w:rPr>
                <w:rFonts w:ascii="Arial"/>
                <w:b/>
                <w:sz w:val="20"/>
              </w:rPr>
              <w:t>1.120</w:t>
            </w:r>
          </w:p>
        </w:tc>
        <w:tc>
          <w:tcPr>
            <w:tcW w:w="1321" w:type="dxa"/>
          </w:tcPr>
          <w:p>
            <w:pPr>
              <w:pStyle w:val="TableParagraph"/>
              <w:spacing w:before="71"/>
              <w:rPr>
                <w:rFonts w:ascii="Arial"/>
                <w:b/>
                <w:sz w:val="20"/>
              </w:rPr>
            </w:pPr>
            <w:r>
              <w:rPr>
                <w:rFonts w:ascii="Arial"/>
                <w:b/>
                <w:w w:val="105"/>
                <w:sz w:val="20"/>
              </w:rPr>
              <w:t>672</w:t>
            </w:r>
          </w:p>
        </w:tc>
      </w:tr>
      <w:tr>
        <w:trPr>
          <w:trHeight w:val="1469" w:hRule="atLeast"/>
        </w:trPr>
        <w:tc>
          <w:tcPr>
            <w:tcW w:w="4652" w:type="dxa"/>
          </w:tcPr>
          <w:p>
            <w:pPr>
              <w:pStyle w:val="TableParagraph"/>
              <w:spacing w:line="270" w:lineRule="atLeast" w:before="31"/>
              <w:ind w:right="426"/>
              <w:rPr>
                <w:rFonts w:ascii="Arial"/>
                <w:b/>
                <w:sz w:val="20"/>
              </w:rPr>
            </w:pPr>
            <w:r>
              <w:rPr>
                <w:rFonts w:ascii="Arial"/>
                <w:b/>
                <w:w w:val="105"/>
                <w:sz w:val="20"/>
              </w:rPr>
              <w:t>2. Cladire cu peretii exteriori din lemn, piatra naturala,caramida nearsa, paianta, valatuci sau din orice alte materiale nesupuse unui tratament termic si/sau chimic</w:t>
            </w:r>
          </w:p>
        </w:tc>
        <w:tc>
          <w:tcPr>
            <w:tcW w:w="3808" w:type="dxa"/>
          </w:tcPr>
          <w:p>
            <w:pPr>
              <w:pStyle w:val="TableParagraph"/>
              <w:spacing w:before="71"/>
              <w:ind w:left="113"/>
              <w:rPr>
                <w:rFonts w:ascii="Arial"/>
                <w:b/>
                <w:sz w:val="20"/>
              </w:rPr>
            </w:pPr>
            <w:r>
              <w:rPr>
                <w:rFonts w:ascii="Arial"/>
                <w:b/>
                <w:w w:val="105"/>
                <w:sz w:val="20"/>
              </w:rPr>
              <w:t>335</w:t>
            </w:r>
          </w:p>
        </w:tc>
        <w:tc>
          <w:tcPr>
            <w:tcW w:w="1321" w:type="dxa"/>
          </w:tcPr>
          <w:p>
            <w:pPr>
              <w:pStyle w:val="TableParagraph"/>
              <w:spacing w:before="71"/>
              <w:rPr>
                <w:rFonts w:ascii="Arial"/>
                <w:b/>
                <w:sz w:val="20"/>
              </w:rPr>
            </w:pPr>
            <w:r>
              <w:rPr>
                <w:rFonts w:ascii="Arial"/>
                <w:b/>
                <w:w w:val="105"/>
                <w:sz w:val="20"/>
              </w:rPr>
              <w:t>224</w:t>
            </w:r>
          </w:p>
        </w:tc>
      </w:tr>
      <w:tr>
        <w:trPr>
          <w:trHeight w:val="1192" w:hRule="atLeast"/>
        </w:trPr>
        <w:tc>
          <w:tcPr>
            <w:tcW w:w="4652" w:type="dxa"/>
          </w:tcPr>
          <w:p>
            <w:pPr>
              <w:pStyle w:val="TableParagraph"/>
              <w:spacing w:line="288" w:lineRule="auto" w:before="71"/>
              <w:ind w:left="179" w:right="91"/>
              <w:jc w:val="right"/>
              <w:rPr>
                <w:rFonts w:ascii="Arial"/>
                <w:b/>
                <w:sz w:val="20"/>
              </w:rPr>
            </w:pPr>
            <w:r>
              <w:rPr>
                <w:rFonts w:ascii="Arial"/>
                <w:b/>
                <w:sz w:val="20"/>
              </w:rPr>
              <w:t>3. Cladire-anexa cu cadre din beton</w:t>
            </w:r>
            <w:r>
              <w:rPr>
                <w:rFonts w:ascii="Arial"/>
                <w:b/>
                <w:spacing w:val="38"/>
                <w:sz w:val="20"/>
              </w:rPr>
              <w:t> </w:t>
            </w:r>
            <w:r>
              <w:rPr>
                <w:rFonts w:ascii="Arial"/>
                <w:b/>
                <w:sz w:val="20"/>
              </w:rPr>
              <w:t>armat</w:t>
            </w:r>
            <w:r>
              <w:rPr>
                <w:rFonts w:ascii="Arial"/>
                <w:b/>
                <w:spacing w:val="18"/>
                <w:sz w:val="20"/>
              </w:rPr>
              <w:t> </w:t>
            </w:r>
            <w:r>
              <w:rPr>
                <w:rFonts w:ascii="Arial"/>
                <w:b/>
                <w:sz w:val="20"/>
              </w:rPr>
              <w:t>ori</w:t>
            </w:r>
            <w:r>
              <w:rPr>
                <w:rFonts w:ascii="Arial"/>
                <w:b/>
                <w:w w:val="100"/>
                <w:sz w:val="20"/>
              </w:rPr>
              <w:t> </w:t>
            </w:r>
            <w:r>
              <w:rPr>
                <w:rFonts w:ascii="Arial"/>
                <w:b/>
                <w:sz w:val="20"/>
              </w:rPr>
              <w:t>cu</w:t>
            </w:r>
            <w:r>
              <w:rPr>
                <w:rFonts w:ascii="Arial"/>
                <w:b/>
                <w:spacing w:val="37"/>
                <w:sz w:val="20"/>
              </w:rPr>
              <w:t> </w:t>
            </w:r>
            <w:r>
              <w:rPr>
                <w:rFonts w:ascii="Arial"/>
                <w:b/>
                <w:sz w:val="20"/>
              </w:rPr>
              <w:t>pereti</w:t>
            </w:r>
            <w:r>
              <w:rPr>
                <w:rFonts w:ascii="Arial"/>
                <w:b/>
                <w:spacing w:val="38"/>
                <w:sz w:val="20"/>
              </w:rPr>
              <w:t> </w:t>
            </w:r>
            <w:r>
              <w:rPr>
                <w:rFonts w:ascii="Arial"/>
                <w:b/>
                <w:sz w:val="20"/>
              </w:rPr>
              <w:t>exteriori</w:t>
            </w:r>
            <w:r>
              <w:rPr>
                <w:rFonts w:ascii="Arial"/>
                <w:b/>
                <w:spacing w:val="38"/>
                <w:sz w:val="20"/>
              </w:rPr>
              <w:t> </w:t>
            </w:r>
            <w:r>
              <w:rPr>
                <w:rFonts w:ascii="Arial"/>
                <w:b/>
                <w:sz w:val="20"/>
              </w:rPr>
              <w:t>din</w:t>
            </w:r>
            <w:r>
              <w:rPr>
                <w:rFonts w:ascii="Arial"/>
                <w:b/>
                <w:spacing w:val="38"/>
                <w:sz w:val="20"/>
              </w:rPr>
              <w:t> </w:t>
            </w:r>
            <w:r>
              <w:rPr>
                <w:rFonts w:ascii="Arial"/>
                <w:b/>
                <w:sz w:val="20"/>
              </w:rPr>
              <w:t>caramida</w:t>
            </w:r>
            <w:r>
              <w:rPr>
                <w:rFonts w:ascii="Arial"/>
                <w:b/>
                <w:spacing w:val="38"/>
                <w:sz w:val="20"/>
              </w:rPr>
              <w:t> </w:t>
            </w:r>
            <w:r>
              <w:rPr>
                <w:rFonts w:ascii="Arial"/>
                <w:b/>
                <w:sz w:val="20"/>
              </w:rPr>
              <w:t>arsa</w:t>
            </w:r>
            <w:r>
              <w:rPr>
                <w:rFonts w:ascii="Arial"/>
                <w:b/>
                <w:spacing w:val="38"/>
                <w:sz w:val="20"/>
              </w:rPr>
              <w:t> </w:t>
            </w:r>
            <w:r>
              <w:rPr>
                <w:rFonts w:ascii="Arial"/>
                <w:b/>
                <w:sz w:val="20"/>
              </w:rPr>
              <w:t>sau</w:t>
            </w:r>
            <w:r>
              <w:rPr>
                <w:rFonts w:ascii="Arial"/>
                <w:b/>
                <w:w w:val="103"/>
                <w:sz w:val="20"/>
              </w:rPr>
              <w:t> </w:t>
            </w:r>
            <w:r>
              <w:rPr>
                <w:rFonts w:ascii="Arial"/>
                <w:b/>
                <w:spacing w:val="-1"/>
                <w:w w:val="101"/>
                <w:sz w:val="20"/>
              </w:rPr>
              <w:t> </w:t>
            </w:r>
            <w:r>
              <w:rPr>
                <w:rFonts w:ascii="Arial"/>
                <w:b/>
                <w:sz w:val="20"/>
              </w:rPr>
              <w:t>din orice alte materiale rezultate in</w:t>
            </w:r>
            <w:r>
              <w:rPr>
                <w:rFonts w:ascii="Arial"/>
                <w:b/>
                <w:spacing w:val="8"/>
                <w:sz w:val="20"/>
              </w:rPr>
              <w:t> </w:t>
            </w:r>
            <w:r>
              <w:rPr>
                <w:rFonts w:ascii="Arial"/>
                <w:b/>
                <w:sz w:val="20"/>
              </w:rPr>
              <w:t>urma</w:t>
            </w:r>
          </w:p>
          <w:p>
            <w:pPr>
              <w:pStyle w:val="TableParagraph"/>
              <w:spacing w:before="1"/>
              <w:rPr>
                <w:rFonts w:ascii="Arial"/>
                <w:b/>
                <w:sz w:val="20"/>
              </w:rPr>
            </w:pPr>
            <w:r>
              <w:rPr>
                <w:rFonts w:ascii="Arial"/>
                <w:b/>
                <w:w w:val="105"/>
                <w:sz w:val="20"/>
              </w:rPr>
              <w:t>unui tratament termic si/sau chimic</w:t>
            </w:r>
          </w:p>
        </w:tc>
        <w:tc>
          <w:tcPr>
            <w:tcW w:w="3808" w:type="dxa"/>
          </w:tcPr>
          <w:p>
            <w:pPr>
              <w:pStyle w:val="TableParagraph"/>
              <w:spacing w:before="71"/>
              <w:ind w:left="113"/>
              <w:rPr>
                <w:rFonts w:ascii="Arial"/>
                <w:b/>
                <w:sz w:val="20"/>
              </w:rPr>
            </w:pPr>
            <w:r>
              <w:rPr>
                <w:rFonts w:ascii="Arial"/>
                <w:b/>
                <w:w w:val="105"/>
                <w:sz w:val="20"/>
              </w:rPr>
              <w:t>224</w:t>
            </w:r>
          </w:p>
        </w:tc>
        <w:tc>
          <w:tcPr>
            <w:tcW w:w="1321" w:type="dxa"/>
          </w:tcPr>
          <w:p>
            <w:pPr>
              <w:pStyle w:val="TableParagraph"/>
              <w:spacing w:before="71"/>
              <w:rPr>
                <w:rFonts w:ascii="Arial"/>
                <w:b/>
                <w:sz w:val="20"/>
              </w:rPr>
            </w:pPr>
            <w:r>
              <w:rPr>
                <w:rFonts w:ascii="Arial"/>
                <w:b/>
                <w:w w:val="105"/>
                <w:sz w:val="20"/>
              </w:rPr>
              <w:t>197</w:t>
            </w:r>
          </w:p>
        </w:tc>
      </w:tr>
      <w:tr>
        <w:trPr>
          <w:trHeight w:val="1469" w:hRule="atLeast"/>
        </w:trPr>
        <w:tc>
          <w:tcPr>
            <w:tcW w:w="4652" w:type="dxa"/>
          </w:tcPr>
          <w:p>
            <w:pPr>
              <w:pStyle w:val="TableParagraph"/>
              <w:spacing w:line="270" w:lineRule="atLeast" w:before="31"/>
              <w:ind w:right="739"/>
              <w:rPr>
                <w:rFonts w:ascii="Arial"/>
                <w:b/>
                <w:sz w:val="20"/>
              </w:rPr>
            </w:pPr>
            <w:r>
              <w:rPr>
                <w:rFonts w:ascii="Arial"/>
                <w:b/>
                <w:w w:val="105"/>
                <w:sz w:val="20"/>
              </w:rPr>
              <w:t>4</w:t>
            </w:r>
            <w:r>
              <w:rPr>
                <w:rFonts w:ascii="Arial"/>
                <w:b/>
                <w:spacing w:val="-34"/>
                <w:w w:val="105"/>
                <w:sz w:val="20"/>
              </w:rPr>
              <w:t> </w:t>
            </w:r>
            <w:r>
              <w:rPr>
                <w:rFonts w:ascii="Arial"/>
                <w:b/>
                <w:w w:val="105"/>
                <w:sz w:val="20"/>
              </w:rPr>
              <w:t>.</w:t>
            </w:r>
            <w:r>
              <w:rPr>
                <w:rFonts w:ascii="Arial"/>
                <w:b/>
                <w:spacing w:val="-25"/>
                <w:w w:val="105"/>
                <w:sz w:val="20"/>
              </w:rPr>
              <w:t> </w:t>
            </w:r>
            <w:r>
              <w:rPr>
                <w:rFonts w:ascii="Arial"/>
                <w:b/>
                <w:w w:val="105"/>
                <w:sz w:val="20"/>
              </w:rPr>
              <w:t>Cladire-anexa</w:t>
            </w:r>
            <w:r>
              <w:rPr>
                <w:rFonts w:ascii="Arial"/>
                <w:b/>
                <w:spacing w:val="-26"/>
                <w:w w:val="105"/>
                <w:sz w:val="20"/>
              </w:rPr>
              <w:t> </w:t>
            </w:r>
            <w:r>
              <w:rPr>
                <w:rFonts w:ascii="Arial"/>
                <w:b/>
                <w:w w:val="105"/>
                <w:sz w:val="20"/>
              </w:rPr>
              <w:t>cu</w:t>
            </w:r>
            <w:r>
              <w:rPr>
                <w:rFonts w:ascii="Arial"/>
                <w:b/>
                <w:spacing w:val="-25"/>
                <w:w w:val="105"/>
                <w:sz w:val="20"/>
              </w:rPr>
              <w:t> </w:t>
            </w:r>
            <w:r>
              <w:rPr>
                <w:rFonts w:ascii="Arial"/>
                <w:b/>
                <w:w w:val="105"/>
                <w:sz w:val="20"/>
              </w:rPr>
              <w:t>peretii</w:t>
            </w:r>
            <w:r>
              <w:rPr>
                <w:rFonts w:ascii="Arial"/>
                <w:b/>
                <w:spacing w:val="-26"/>
                <w:w w:val="105"/>
                <w:sz w:val="20"/>
              </w:rPr>
              <w:t> </w:t>
            </w:r>
            <w:r>
              <w:rPr>
                <w:rFonts w:ascii="Arial"/>
                <w:b/>
                <w:w w:val="105"/>
                <w:sz w:val="20"/>
              </w:rPr>
              <w:t>exteriori</w:t>
            </w:r>
            <w:r>
              <w:rPr>
                <w:rFonts w:ascii="Arial"/>
                <w:b/>
                <w:spacing w:val="-25"/>
                <w:w w:val="105"/>
                <w:sz w:val="20"/>
              </w:rPr>
              <w:t> </w:t>
            </w:r>
            <w:r>
              <w:rPr>
                <w:rFonts w:ascii="Arial"/>
                <w:b/>
                <w:w w:val="105"/>
                <w:sz w:val="20"/>
              </w:rPr>
              <w:t>din lemn,</w:t>
            </w:r>
            <w:r>
              <w:rPr>
                <w:rFonts w:ascii="Arial"/>
                <w:b/>
                <w:spacing w:val="-26"/>
                <w:w w:val="105"/>
                <w:sz w:val="20"/>
              </w:rPr>
              <w:t> </w:t>
            </w:r>
            <w:r>
              <w:rPr>
                <w:rFonts w:ascii="Arial"/>
                <w:b/>
                <w:w w:val="105"/>
                <w:sz w:val="20"/>
              </w:rPr>
              <w:t>piatra</w:t>
            </w:r>
            <w:r>
              <w:rPr>
                <w:rFonts w:ascii="Arial"/>
                <w:b/>
                <w:spacing w:val="-26"/>
                <w:w w:val="105"/>
                <w:sz w:val="20"/>
              </w:rPr>
              <w:t> </w:t>
            </w:r>
            <w:r>
              <w:rPr>
                <w:rFonts w:ascii="Arial"/>
                <w:b/>
                <w:w w:val="105"/>
                <w:sz w:val="20"/>
              </w:rPr>
              <w:t>naturala,caramida</w:t>
            </w:r>
            <w:r>
              <w:rPr>
                <w:rFonts w:ascii="Arial"/>
                <w:b/>
                <w:spacing w:val="-26"/>
                <w:w w:val="105"/>
                <w:sz w:val="20"/>
              </w:rPr>
              <w:t> </w:t>
            </w:r>
            <w:r>
              <w:rPr>
                <w:rFonts w:ascii="Arial"/>
                <w:b/>
                <w:w w:val="105"/>
                <w:sz w:val="20"/>
              </w:rPr>
              <w:t>nearsa, paianta, valatuci sau din orice alte materiale nesupuse unui tratament termic si/sau</w:t>
            </w:r>
            <w:r>
              <w:rPr>
                <w:rFonts w:ascii="Arial"/>
                <w:b/>
                <w:spacing w:val="-18"/>
                <w:w w:val="105"/>
                <w:sz w:val="20"/>
              </w:rPr>
              <w:t> </w:t>
            </w:r>
            <w:r>
              <w:rPr>
                <w:rFonts w:ascii="Arial"/>
                <w:b/>
                <w:w w:val="105"/>
                <w:sz w:val="20"/>
              </w:rPr>
              <w:t>chimic</w:t>
            </w:r>
          </w:p>
        </w:tc>
        <w:tc>
          <w:tcPr>
            <w:tcW w:w="3808" w:type="dxa"/>
          </w:tcPr>
          <w:p>
            <w:pPr>
              <w:pStyle w:val="TableParagraph"/>
              <w:spacing w:before="71"/>
              <w:ind w:left="113"/>
              <w:rPr>
                <w:rFonts w:ascii="Arial"/>
                <w:b/>
                <w:sz w:val="20"/>
              </w:rPr>
            </w:pPr>
            <w:r>
              <w:rPr>
                <w:rFonts w:ascii="Arial"/>
                <w:b/>
                <w:w w:val="105"/>
                <w:sz w:val="20"/>
              </w:rPr>
              <w:t>140</w:t>
            </w:r>
          </w:p>
        </w:tc>
        <w:tc>
          <w:tcPr>
            <w:tcW w:w="1321" w:type="dxa"/>
          </w:tcPr>
          <w:p>
            <w:pPr>
              <w:pStyle w:val="TableParagraph"/>
              <w:spacing w:before="71"/>
              <w:rPr>
                <w:rFonts w:ascii="Arial"/>
                <w:b/>
                <w:sz w:val="20"/>
              </w:rPr>
            </w:pPr>
            <w:r>
              <w:rPr>
                <w:rFonts w:ascii="Arial"/>
                <w:b/>
                <w:w w:val="105"/>
                <w:sz w:val="20"/>
              </w:rPr>
              <w:t>84</w:t>
            </w:r>
          </w:p>
        </w:tc>
      </w:tr>
      <w:tr>
        <w:trPr>
          <w:trHeight w:val="1469" w:hRule="atLeast"/>
        </w:trPr>
        <w:tc>
          <w:tcPr>
            <w:tcW w:w="4652" w:type="dxa"/>
          </w:tcPr>
          <w:p>
            <w:pPr>
              <w:pStyle w:val="TableParagraph"/>
              <w:spacing w:line="270" w:lineRule="atLeast" w:before="31"/>
              <w:ind w:right="539"/>
              <w:rPr>
                <w:rFonts w:ascii="Arial"/>
                <w:b/>
                <w:sz w:val="20"/>
              </w:rPr>
            </w:pPr>
            <w:r>
              <w:rPr>
                <w:rFonts w:ascii="Arial"/>
                <w:b/>
                <w:sz w:val="20"/>
              </w:rPr>
              <w:t>5. In cazul contribuabilului care detine la aceeasi adresa incaperi amplasate la subsol, la demisol si/sau la mansarda, utilizate ca locuinta, in oricare dintre tipurile de cladiri prevazute la lit.A-D</w:t>
            </w:r>
          </w:p>
        </w:tc>
        <w:tc>
          <w:tcPr>
            <w:tcW w:w="3808" w:type="dxa"/>
          </w:tcPr>
          <w:p>
            <w:pPr>
              <w:pStyle w:val="TableParagraph"/>
              <w:spacing w:line="288" w:lineRule="auto" w:before="71"/>
              <w:ind w:left="113" w:right="2675"/>
              <w:rPr>
                <w:rFonts w:ascii="Arial"/>
                <w:b/>
                <w:sz w:val="20"/>
              </w:rPr>
            </w:pPr>
            <w:r>
              <w:rPr>
                <w:rFonts w:ascii="Arial"/>
                <w:b/>
                <w:sz w:val="20"/>
              </w:rPr>
              <w:t>75% din suma care s-ar aplica cladirii</w:t>
            </w:r>
          </w:p>
        </w:tc>
        <w:tc>
          <w:tcPr>
            <w:tcW w:w="1321" w:type="dxa"/>
          </w:tcPr>
          <w:p>
            <w:pPr>
              <w:pStyle w:val="TableParagraph"/>
              <w:spacing w:line="288" w:lineRule="auto" w:before="71"/>
              <w:ind w:right="188"/>
              <w:rPr>
                <w:rFonts w:ascii="Arial"/>
                <w:b/>
                <w:sz w:val="20"/>
              </w:rPr>
            </w:pPr>
            <w:r>
              <w:rPr>
                <w:rFonts w:ascii="Arial"/>
                <w:b/>
                <w:sz w:val="20"/>
              </w:rPr>
              <w:t>75% din suma care s-ar aplica cladirii</w:t>
            </w:r>
          </w:p>
        </w:tc>
      </w:tr>
      <w:tr>
        <w:trPr>
          <w:trHeight w:val="1745" w:hRule="atLeast"/>
        </w:trPr>
        <w:tc>
          <w:tcPr>
            <w:tcW w:w="4652" w:type="dxa"/>
          </w:tcPr>
          <w:p>
            <w:pPr>
              <w:pStyle w:val="TableParagraph"/>
              <w:spacing w:line="270" w:lineRule="atLeast" w:before="31"/>
              <w:ind w:right="539"/>
              <w:rPr>
                <w:rFonts w:ascii="Arial"/>
                <w:b/>
                <w:sz w:val="20"/>
              </w:rPr>
            </w:pPr>
            <w:r>
              <w:rPr>
                <w:rFonts w:ascii="Arial"/>
                <w:b/>
                <w:sz w:val="20"/>
              </w:rPr>
              <w:t>6. In cazul contribuabilului care detine la aceeasi adresa incaperi amplasate la subsol, la demisol si/sau la mansarda, utilizate in alte scopuri decat cel de locuinta,, in oricare dintre tipurile de cladiri prevazute la lit.A-D</w:t>
            </w:r>
          </w:p>
        </w:tc>
        <w:tc>
          <w:tcPr>
            <w:tcW w:w="3808" w:type="dxa"/>
          </w:tcPr>
          <w:p>
            <w:pPr>
              <w:pStyle w:val="TableParagraph"/>
              <w:spacing w:line="288" w:lineRule="auto" w:before="71"/>
              <w:ind w:left="113" w:right="2321"/>
              <w:rPr>
                <w:rFonts w:ascii="Arial"/>
                <w:b/>
                <w:sz w:val="20"/>
              </w:rPr>
            </w:pPr>
            <w:r>
              <w:rPr>
                <w:rFonts w:ascii="Arial"/>
                <w:b/>
                <w:sz w:val="20"/>
              </w:rPr>
              <w:t>50% din suma care s-ar aplica cladirii</w:t>
            </w:r>
          </w:p>
        </w:tc>
        <w:tc>
          <w:tcPr>
            <w:tcW w:w="1321" w:type="dxa"/>
          </w:tcPr>
          <w:p>
            <w:pPr>
              <w:pStyle w:val="TableParagraph"/>
              <w:tabs>
                <w:tab w:pos="902" w:val="left" w:leader="none"/>
              </w:tabs>
              <w:spacing w:line="288" w:lineRule="auto" w:before="71"/>
              <w:ind w:right="90"/>
              <w:rPr>
                <w:rFonts w:ascii="Arial"/>
                <w:b/>
                <w:sz w:val="20"/>
              </w:rPr>
            </w:pPr>
            <w:r>
              <w:rPr>
                <w:rFonts w:ascii="Arial"/>
                <w:b/>
                <w:sz w:val="20"/>
              </w:rPr>
              <w:t>50%</w:t>
              <w:tab/>
            </w:r>
            <w:r>
              <w:rPr>
                <w:rFonts w:ascii="Arial"/>
                <w:b/>
                <w:spacing w:val="-9"/>
                <w:sz w:val="20"/>
              </w:rPr>
              <w:t>din </w:t>
            </w:r>
            <w:r>
              <w:rPr>
                <w:rFonts w:ascii="Arial"/>
                <w:b/>
                <w:sz w:val="20"/>
              </w:rPr>
              <w:t>suma</w:t>
            </w:r>
          </w:p>
          <w:p>
            <w:pPr>
              <w:pStyle w:val="TableParagraph"/>
              <w:spacing w:line="288" w:lineRule="auto" w:before="1"/>
              <w:ind w:right="335"/>
              <w:rPr>
                <w:rFonts w:ascii="Arial"/>
                <w:b/>
                <w:sz w:val="20"/>
              </w:rPr>
            </w:pPr>
            <w:r>
              <w:rPr>
                <w:rFonts w:ascii="Arial"/>
                <w:b/>
                <w:sz w:val="20"/>
              </w:rPr>
              <w:t>care s-ar aplica cladirii</w:t>
            </w:r>
          </w:p>
        </w:tc>
      </w:tr>
    </w:tbl>
    <w:p>
      <w:pPr>
        <w:pStyle w:val="ListParagraph"/>
        <w:numPr>
          <w:ilvl w:val="1"/>
          <w:numId w:val="3"/>
        </w:numPr>
        <w:tabs>
          <w:tab w:pos="1669" w:val="left" w:leader="none"/>
        </w:tabs>
        <w:spacing w:line="271" w:lineRule="auto" w:before="208" w:after="0"/>
        <w:ind w:left="108" w:right="108" w:firstLine="1294"/>
        <w:jc w:val="both"/>
        <w:rPr>
          <w:sz w:val="20"/>
        </w:rPr>
      </w:pPr>
      <w:r>
        <w:rPr>
          <w:w w:val="115"/>
          <w:sz w:val="20"/>
        </w:rPr>
        <w:t>Dacă dimensiunile exterioare ale unei clădiri nu pot fi efectiv măsurate pe conturul exterior,atunci suprafaţa construită desfaşurată a clădirii se determină prin înmulţirea suprafeţei utile a clădirii cu un coeficient de transformare de</w:t>
      </w:r>
      <w:r>
        <w:rPr>
          <w:spacing w:val="-10"/>
          <w:w w:val="115"/>
          <w:sz w:val="20"/>
        </w:rPr>
        <w:t> </w:t>
      </w:r>
      <w:r>
        <w:rPr>
          <w:w w:val="115"/>
          <w:sz w:val="20"/>
        </w:rPr>
        <w:t>1,4.</w:t>
      </w:r>
    </w:p>
    <w:p>
      <w:pPr>
        <w:pStyle w:val="ListParagraph"/>
        <w:numPr>
          <w:ilvl w:val="1"/>
          <w:numId w:val="3"/>
        </w:numPr>
        <w:tabs>
          <w:tab w:pos="1320" w:val="left" w:leader="none"/>
        </w:tabs>
        <w:spacing w:line="271" w:lineRule="auto" w:before="109" w:after="0"/>
        <w:ind w:left="108" w:right="112" w:firstLine="1044"/>
        <w:jc w:val="both"/>
        <w:rPr>
          <w:sz w:val="18"/>
        </w:rPr>
      </w:pPr>
      <w:r>
        <w:rPr>
          <w:w w:val="115"/>
          <w:sz w:val="20"/>
        </w:rPr>
        <w:t>Valoarea impozabilă a clădirii se ajustează în funcţie de rangul localităţii şi zona în care este amplasată clădirea, prin înmulţirea valorii determinate conform alin. (2) - (4) cu coeficientul de corecţie corespunzător, prevăzut în tabelul</w:t>
      </w:r>
      <w:r>
        <w:rPr>
          <w:spacing w:val="-5"/>
          <w:w w:val="115"/>
          <w:sz w:val="20"/>
        </w:rPr>
        <w:t> </w:t>
      </w:r>
      <w:r>
        <w:rPr>
          <w:w w:val="115"/>
          <w:sz w:val="20"/>
        </w:rPr>
        <w:t>următor:</w:t>
      </w:r>
    </w:p>
    <w:p>
      <w:pPr>
        <w:pStyle w:val="BodyText"/>
        <w:spacing w:before="3"/>
        <w:ind w:left="0"/>
        <w:jc w:val="left"/>
        <w:rPr>
          <w:sz w:val="13"/>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2748"/>
        <w:gridCol w:w="1182"/>
        <w:gridCol w:w="1182"/>
        <w:gridCol w:w="1167"/>
        <w:gridCol w:w="1167"/>
        <w:gridCol w:w="1167"/>
        <w:gridCol w:w="1167"/>
      </w:tblGrid>
      <w:tr>
        <w:trPr>
          <w:trHeight w:val="363" w:hRule="atLeast"/>
        </w:trPr>
        <w:tc>
          <w:tcPr>
            <w:tcW w:w="2748" w:type="dxa"/>
          </w:tcPr>
          <w:p>
            <w:pPr>
              <w:pStyle w:val="TableParagraph"/>
              <w:rPr>
                <w:sz w:val="20"/>
              </w:rPr>
            </w:pPr>
            <w:r>
              <w:rPr>
                <w:w w:val="115"/>
                <w:sz w:val="20"/>
              </w:rPr>
              <w:t>Zona în cadrul localităţii</w:t>
            </w:r>
          </w:p>
        </w:tc>
        <w:tc>
          <w:tcPr>
            <w:tcW w:w="7032" w:type="dxa"/>
            <w:gridSpan w:val="6"/>
          </w:tcPr>
          <w:p>
            <w:pPr>
              <w:pStyle w:val="TableParagraph"/>
              <w:ind w:left="113"/>
              <w:rPr>
                <w:sz w:val="20"/>
              </w:rPr>
            </w:pPr>
            <w:r>
              <w:rPr>
                <w:w w:val="115"/>
                <w:sz w:val="20"/>
              </w:rPr>
              <w:t>Rangul localităţii</w:t>
            </w:r>
          </w:p>
        </w:tc>
      </w:tr>
      <w:tr>
        <w:trPr>
          <w:trHeight w:val="363" w:hRule="atLeast"/>
        </w:trPr>
        <w:tc>
          <w:tcPr>
            <w:tcW w:w="2748" w:type="dxa"/>
          </w:tcPr>
          <w:p>
            <w:pPr>
              <w:pStyle w:val="TableParagraph"/>
              <w:spacing w:before="0"/>
              <w:ind w:left="0"/>
              <w:rPr>
                <w:rFonts w:ascii="Times New Roman"/>
                <w:sz w:val="18"/>
              </w:rPr>
            </w:pPr>
          </w:p>
        </w:tc>
        <w:tc>
          <w:tcPr>
            <w:tcW w:w="1182" w:type="dxa"/>
          </w:tcPr>
          <w:p>
            <w:pPr>
              <w:pStyle w:val="TableParagraph"/>
              <w:ind w:left="113"/>
              <w:rPr>
                <w:sz w:val="20"/>
              </w:rPr>
            </w:pPr>
            <w:r>
              <w:rPr>
                <w:w w:val="112"/>
                <w:sz w:val="20"/>
              </w:rPr>
              <w:t>0</w:t>
            </w:r>
          </w:p>
        </w:tc>
        <w:tc>
          <w:tcPr>
            <w:tcW w:w="1182" w:type="dxa"/>
          </w:tcPr>
          <w:p>
            <w:pPr>
              <w:pStyle w:val="TableParagraph"/>
              <w:ind w:left="113"/>
              <w:rPr>
                <w:sz w:val="20"/>
              </w:rPr>
            </w:pPr>
            <w:r>
              <w:rPr>
                <w:w w:val="110"/>
                <w:sz w:val="20"/>
              </w:rPr>
              <w:t>I</w:t>
            </w:r>
          </w:p>
        </w:tc>
        <w:tc>
          <w:tcPr>
            <w:tcW w:w="1167" w:type="dxa"/>
          </w:tcPr>
          <w:p>
            <w:pPr>
              <w:pStyle w:val="TableParagraph"/>
              <w:ind w:left="113"/>
              <w:rPr>
                <w:sz w:val="20"/>
              </w:rPr>
            </w:pPr>
            <w:r>
              <w:rPr>
                <w:w w:val="110"/>
                <w:sz w:val="20"/>
              </w:rPr>
              <w:t>II</w:t>
            </w:r>
          </w:p>
        </w:tc>
        <w:tc>
          <w:tcPr>
            <w:tcW w:w="1167" w:type="dxa"/>
          </w:tcPr>
          <w:p>
            <w:pPr>
              <w:pStyle w:val="TableParagraph"/>
              <w:ind w:left="113"/>
              <w:rPr>
                <w:sz w:val="20"/>
              </w:rPr>
            </w:pPr>
            <w:r>
              <w:rPr>
                <w:w w:val="110"/>
                <w:sz w:val="20"/>
              </w:rPr>
              <w:t>III</w:t>
            </w:r>
          </w:p>
        </w:tc>
        <w:tc>
          <w:tcPr>
            <w:tcW w:w="1167" w:type="dxa"/>
          </w:tcPr>
          <w:p>
            <w:pPr>
              <w:pStyle w:val="TableParagraph"/>
              <w:ind w:left="113"/>
              <w:rPr>
                <w:sz w:val="20"/>
              </w:rPr>
            </w:pPr>
            <w:r>
              <w:rPr>
                <w:w w:val="110"/>
                <w:sz w:val="20"/>
              </w:rPr>
              <w:t>IV</w:t>
            </w:r>
          </w:p>
        </w:tc>
        <w:tc>
          <w:tcPr>
            <w:tcW w:w="1167" w:type="dxa"/>
          </w:tcPr>
          <w:p>
            <w:pPr>
              <w:pStyle w:val="TableParagraph"/>
              <w:ind w:left="113"/>
              <w:rPr>
                <w:sz w:val="20"/>
              </w:rPr>
            </w:pPr>
            <w:r>
              <w:rPr>
                <w:w w:val="104"/>
                <w:sz w:val="20"/>
              </w:rPr>
              <w:t>V</w:t>
            </w:r>
          </w:p>
        </w:tc>
      </w:tr>
      <w:tr>
        <w:trPr>
          <w:trHeight w:val="363" w:hRule="atLeast"/>
        </w:trPr>
        <w:tc>
          <w:tcPr>
            <w:tcW w:w="2748" w:type="dxa"/>
          </w:tcPr>
          <w:p>
            <w:pPr>
              <w:pStyle w:val="TableParagraph"/>
              <w:rPr>
                <w:sz w:val="20"/>
              </w:rPr>
            </w:pPr>
            <w:r>
              <w:rPr>
                <w:w w:val="109"/>
                <w:sz w:val="20"/>
              </w:rPr>
              <w:t>A</w:t>
            </w:r>
          </w:p>
        </w:tc>
        <w:tc>
          <w:tcPr>
            <w:tcW w:w="1182" w:type="dxa"/>
          </w:tcPr>
          <w:p>
            <w:pPr>
              <w:pStyle w:val="TableParagraph"/>
              <w:ind w:left="113"/>
              <w:rPr>
                <w:sz w:val="20"/>
              </w:rPr>
            </w:pPr>
            <w:r>
              <w:rPr>
                <w:w w:val="110"/>
                <w:sz w:val="20"/>
              </w:rPr>
              <w:t>2,60</w:t>
            </w:r>
          </w:p>
        </w:tc>
        <w:tc>
          <w:tcPr>
            <w:tcW w:w="1182" w:type="dxa"/>
          </w:tcPr>
          <w:p>
            <w:pPr>
              <w:pStyle w:val="TableParagraph"/>
              <w:ind w:left="113"/>
              <w:rPr>
                <w:sz w:val="20"/>
              </w:rPr>
            </w:pPr>
            <w:r>
              <w:rPr>
                <w:w w:val="110"/>
                <w:sz w:val="20"/>
              </w:rPr>
              <w:t>2,50</w:t>
            </w:r>
          </w:p>
        </w:tc>
        <w:tc>
          <w:tcPr>
            <w:tcW w:w="1167" w:type="dxa"/>
          </w:tcPr>
          <w:p>
            <w:pPr>
              <w:pStyle w:val="TableParagraph"/>
              <w:ind w:left="113"/>
              <w:rPr>
                <w:sz w:val="20"/>
              </w:rPr>
            </w:pPr>
            <w:r>
              <w:rPr>
                <w:w w:val="110"/>
                <w:sz w:val="20"/>
              </w:rPr>
              <w:t>2,40</w:t>
            </w:r>
          </w:p>
        </w:tc>
        <w:tc>
          <w:tcPr>
            <w:tcW w:w="1167" w:type="dxa"/>
          </w:tcPr>
          <w:p>
            <w:pPr>
              <w:pStyle w:val="TableParagraph"/>
              <w:ind w:left="113"/>
              <w:rPr>
                <w:sz w:val="20"/>
              </w:rPr>
            </w:pPr>
            <w:r>
              <w:rPr>
                <w:w w:val="110"/>
                <w:sz w:val="20"/>
              </w:rPr>
              <w:t>2,30</w:t>
            </w:r>
          </w:p>
        </w:tc>
        <w:tc>
          <w:tcPr>
            <w:tcW w:w="1167" w:type="dxa"/>
          </w:tcPr>
          <w:p>
            <w:pPr>
              <w:pStyle w:val="TableParagraph"/>
              <w:ind w:left="113"/>
              <w:rPr>
                <w:sz w:val="20"/>
              </w:rPr>
            </w:pPr>
            <w:r>
              <w:rPr>
                <w:w w:val="110"/>
                <w:sz w:val="20"/>
              </w:rPr>
              <w:t>1,10</w:t>
            </w:r>
          </w:p>
        </w:tc>
        <w:tc>
          <w:tcPr>
            <w:tcW w:w="1167" w:type="dxa"/>
          </w:tcPr>
          <w:p>
            <w:pPr>
              <w:pStyle w:val="TableParagraph"/>
              <w:ind w:left="113"/>
              <w:rPr>
                <w:sz w:val="20"/>
              </w:rPr>
            </w:pPr>
            <w:r>
              <w:rPr>
                <w:w w:val="110"/>
                <w:sz w:val="20"/>
              </w:rPr>
              <w:t>1,05</w:t>
            </w:r>
          </w:p>
        </w:tc>
      </w:tr>
    </w:tbl>
    <w:p>
      <w:pPr>
        <w:pStyle w:val="ListParagraph"/>
        <w:numPr>
          <w:ilvl w:val="1"/>
          <w:numId w:val="3"/>
        </w:numPr>
        <w:tabs>
          <w:tab w:pos="793" w:val="left" w:leader="none"/>
        </w:tabs>
        <w:spacing w:line="240" w:lineRule="auto" w:before="208" w:after="0"/>
        <w:ind w:left="792" w:right="0" w:hanging="218"/>
        <w:jc w:val="left"/>
        <w:rPr>
          <w:sz w:val="20"/>
        </w:rPr>
      </w:pPr>
      <w:r>
        <w:rPr>
          <w:w w:val="115"/>
          <w:sz w:val="20"/>
        </w:rPr>
        <w:t>Valoarea</w:t>
      </w:r>
      <w:r>
        <w:rPr>
          <w:spacing w:val="-6"/>
          <w:w w:val="115"/>
          <w:sz w:val="20"/>
        </w:rPr>
        <w:t> </w:t>
      </w:r>
      <w:r>
        <w:rPr>
          <w:w w:val="115"/>
          <w:sz w:val="20"/>
        </w:rPr>
        <w:t>impozabilă</w:t>
      </w:r>
      <w:r>
        <w:rPr>
          <w:spacing w:val="-6"/>
          <w:w w:val="115"/>
          <w:sz w:val="20"/>
        </w:rPr>
        <w:t> </w:t>
      </w:r>
      <w:r>
        <w:rPr>
          <w:w w:val="115"/>
          <w:sz w:val="20"/>
        </w:rPr>
        <w:t>a</w:t>
      </w:r>
      <w:r>
        <w:rPr>
          <w:spacing w:val="-6"/>
          <w:w w:val="115"/>
          <w:sz w:val="20"/>
        </w:rPr>
        <w:t> </w:t>
      </w:r>
      <w:r>
        <w:rPr>
          <w:w w:val="115"/>
          <w:sz w:val="20"/>
        </w:rPr>
        <w:t>clădirii</w:t>
      </w:r>
      <w:r>
        <w:rPr>
          <w:spacing w:val="-6"/>
          <w:w w:val="115"/>
          <w:sz w:val="20"/>
        </w:rPr>
        <w:t> </w:t>
      </w:r>
      <w:r>
        <w:rPr>
          <w:w w:val="115"/>
          <w:sz w:val="20"/>
        </w:rPr>
        <w:t>se</w:t>
      </w:r>
      <w:r>
        <w:rPr>
          <w:spacing w:val="-6"/>
          <w:w w:val="115"/>
          <w:sz w:val="20"/>
        </w:rPr>
        <w:t> </w:t>
      </w:r>
      <w:r>
        <w:rPr>
          <w:w w:val="115"/>
          <w:sz w:val="20"/>
        </w:rPr>
        <w:t>reduce</w:t>
      </w:r>
      <w:r>
        <w:rPr>
          <w:spacing w:val="-6"/>
          <w:w w:val="115"/>
          <w:sz w:val="20"/>
        </w:rPr>
        <w:t> </w:t>
      </w:r>
      <w:r>
        <w:rPr>
          <w:w w:val="115"/>
          <w:sz w:val="20"/>
        </w:rPr>
        <w:t>în</w:t>
      </w:r>
      <w:r>
        <w:rPr>
          <w:spacing w:val="-6"/>
          <w:w w:val="115"/>
          <w:sz w:val="20"/>
        </w:rPr>
        <w:t> </w:t>
      </w:r>
      <w:r>
        <w:rPr>
          <w:w w:val="115"/>
          <w:sz w:val="20"/>
        </w:rPr>
        <w:t>funcţie</w:t>
      </w:r>
      <w:r>
        <w:rPr>
          <w:spacing w:val="-6"/>
          <w:w w:val="115"/>
          <w:sz w:val="20"/>
        </w:rPr>
        <w:t> </w:t>
      </w:r>
      <w:r>
        <w:rPr>
          <w:w w:val="115"/>
          <w:sz w:val="20"/>
        </w:rPr>
        <w:t>de</w:t>
      </w:r>
      <w:r>
        <w:rPr>
          <w:spacing w:val="-6"/>
          <w:w w:val="115"/>
          <w:sz w:val="20"/>
        </w:rPr>
        <w:t> </w:t>
      </w:r>
      <w:r>
        <w:rPr>
          <w:w w:val="115"/>
          <w:sz w:val="20"/>
        </w:rPr>
        <w:t>anul</w:t>
      </w:r>
      <w:r>
        <w:rPr>
          <w:spacing w:val="-6"/>
          <w:w w:val="115"/>
          <w:sz w:val="20"/>
        </w:rPr>
        <w:t> </w:t>
      </w:r>
      <w:r>
        <w:rPr>
          <w:w w:val="115"/>
          <w:sz w:val="20"/>
        </w:rPr>
        <w:t>terminării</w:t>
      </w:r>
      <w:r>
        <w:rPr>
          <w:spacing w:val="-6"/>
          <w:w w:val="115"/>
          <w:sz w:val="20"/>
        </w:rPr>
        <w:t> </w:t>
      </w:r>
      <w:r>
        <w:rPr>
          <w:w w:val="115"/>
          <w:sz w:val="20"/>
        </w:rPr>
        <w:t>acesteia,</w:t>
      </w:r>
      <w:r>
        <w:rPr>
          <w:spacing w:val="-6"/>
          <w:w w:val="115"/>
          <w:sz w:val="20"/>
        </w:rPr>
        <w:t> </w:t>
      </w:r>
      <w:r>
        <w:rPr>
          <w:w w:val="115"/>
          <w:sz w:val="20"/>
        </w:rPr>
        <w:t>după</w:t>
      </w:r>
      <w:r>
        <w:rPr>
          <w:spacing w:val="-6"/>
          <w:w w:val="115"/>
          <w:sz w:val="20"/>
        </w:rPr>
        <w:t> </w:t>
      </w:r>
      <w:r>
        <w:rPr>
          <w:w w:val="115"/>
          <w:sz w:val="20"/>
        </w:rPr>
        <w:t>cum</w:t>
      </w:r>
      <w:r>
        <w:rPr>
          <w:spacing w:val="-6"/>
          <w:w w:val="115"/>
          <w:sz w:val="20"/>
        </w:rPr>
        <w:t> </w:t>
      </w:r>
      <w:r>
        <w:rPr>
          <w:w w:val="115"/>
          <w:sz w:val="20"/>
        </w:rPr>
        <w:t>urmează:</w:t>
      </w:r>
    </w:p>
    <w:p>
      <w:pPr>
        <w:spacing w:after="0" w:line="240" w:lineRule="auto"/>
        <w:jc w:val="left"/>
        <w:rPr>
          <w:sz w:val="20"/>
        </w:rPr>
        <w:sectPr>
          <w:pgSz w:w="11900" w:h="16840"/>
          <w:pgMar w:header="0" w:footer="341" w:top="500" w:bottom="560" w:left="1140" w:right="740"/>
        </w:sectPr>
      </w:pPr>
    </w:p>
    <w:p>
      <w:pPr>
        <w:pStyle w:val="ListParagraph"/>
        <w:numPr>
          <w:ilvl w:val="0"/>
          <w:numId w:val="4"/>
        </w:numPr>
        <w:tabs>
          <w:tab w:pos="586" w:val="left" w:leader="none"/>
        </w:tabs>
        <w:spacing w:line="271" w:lineRule="auto" w:before="100" w:after="0"/>
        <w:ind w:left="108" w:right="121" w:firstLine="246"/>
        <w:jc w:val="left"/>
        <w:rPr>
          <w:sz w:val="20"/>
        </w:rPr>
      </w:pPr>
      <w:r>
        <w:rPr>
          <w:w w:val="115"/>
          <w:sz w:val="20"/>
        </w:rPr>
        <w:t>cu 50%, pentru clădirea care are o vechime de peste 100 de ani la data de 1 ianuarie a anului fiscal de</w:t>
      </w:r>
      <w:r>
        <w:rPr>
          <w:spacing w:val="-1"/>
          <w:w w:val="115"/>
          <w:sz w:val="20"/>
        </w:rPr>
        <w:t> </w:t>
      </w:r>
      <w:r>
        <w:rPr>
          <w:w w:val="115"/>
          <w:sz w:val="20"/>
        </w:rPr>
        <w:t>referinţă;</w:t>
      </w:r>
    </w:p>
    <w:p>
      <w:pPr>
        <w:pStyle w:val="ListParagraph"/>
        <w:numPr>
          <w:ilvl w:val="0"/>
          <w:numId w:val="4"/>
        </w:numPr>
        <w:tabs>
          <w:tab w:pos="578" w:val="left" w:leader="none"/>
        </w:tabs>
        <w:spacing w:line="271" w:lineRule="auto" w:before="109" w:after="0"/>
        <w:ind w:left="108" w:right="116" w:firstLine="231"/>
        <w:jc w:val="left"/>
        <w:rPr>
          <w:sz w:val="20"/>
        </w:rPr>
      </w:pPr>
      <w:r>
        <w:rPr>
          <w:w w:val="115"/>
          <w:sz w:val="20"/>
        </w:rPr>
        <w:t>cu 30%, pentru clădirea care are o vechime cuprinsă între 50 de ani şi 100 de ani inclusiv, la data de 1 ianuarie a anului fiscal de</w:t>
      </w:r>
      <w:r>
        <w:rPr>
          <w:spacing w:val="-7"/>
          <w:w w:val="115"/>
          <w:sz w:val="20"/>
        </w:rPr>
        <w:t> </w:t>
      </w:r>
      <w:r>
        <w:rPr>
          <w:w w:val="115"/>
          <w:sz w:val="20"/>
        </w:rPr>
        <w:t>referinţă.</w:t>
      </w:r>
    </w:p>
    <w:p>
      <w:pPr>
        <w:pStyle w:val="ListParagraph"/>
        <w:numPr>
          <w:ilvl w:val="0"/>
          <w:numId w:val="4"/>
        </w:numPr>
        <w:tabs>
          <w:tab w:pos="545" w:val="left" w:leader="none"/>
        </w:tabs>
        <w:spacing w:line="271" w:lineRule="auto" w:before="108" w:after="0"/>
        <w:ind w:left="108" w:right="121" w:firstLine="225"/>
        <w:jc w:val="left"/>
        <w:rPr>
          <w:sz w:val="20"/>
        </w:rPr>
      </w:pPr>
      <w:r>
        <w:rPr>
          <w:w w:val="115"/>
          <w:sz w:val="20"/>
        </w:rPr>
        <w:t>cu 10%, pentru clădirea care are o vechime cuprinsă între 30 de ani şi 50 de ani inclusiv, la data de 1 ianuarie a anului fiscal de</w:t>
      </w:r>
      <w:r>
        <w:rPr>
          <w:spacing w:val="-6"/>
          <w:w w:val="115"/>
          <w:sz w:val="20"/>
        </w:rPr>
        <w:t> </w:t>
      </w:r>
      <w:r>
        <w:rPr>
          <w:w w:val="115"/>
          <w:sz w:val="20"/>
        </w:rPr>
        <w:t>referinţă.</w:t>
      </w:r>
    </w:p>
    <w:p>
      <w:pPr>
        <w:pStyle w:val="ListParagraph"/>
        <w:numPr>
          <w:ilvl w:val="1"/>
          <w:numId w:val="3"/>
        </w:numPr>
        <w:tabs>
          <w:tab w:pos="801" w:val="left" w:leader="none"/>
        </w:tabs>
        <w:spacing w:line="271" w:lineRule="auto" w:before="109" w:after="0"/>
        <w:ind w:left="108" w:right="116" w:firstLine="524"/>
        <w:jc w:val="both"/>
        <w:rPr>
          <w:sz w:val="18"/>
        </w:rPr>
      </w:pPr>
      <w:r>
        <w:rPr>
          <w:w w:val="110"/>
          <w:sz w:val="20"/>
        </w:rPr>
        <w:t>Pentru clădirile nerezidenţiale aflate în proprietatea persoanelor fizice,impozitul pe clădiri se calculează prin aplicarea unei cote de 0,5 % asupra valorii care poate fi</w:t>
      </w:r>
      <w:r>
        <w:rPr>
          <w:spacing w:val="5"/>
          <w:w w:val="110"/>
          <w:sz w:val="20"/>
        </w:rPr>
        <w:t> </w:t>
      </w:r>
      <w:r>
        <w:rPr>
          <w:w w:val="110"/>
          <w:sz w:val="20"/>
        </w:rPr>
        <w:t>:</w:t>
      </w:r>
    </w:p>
    <w:p>
      <w:pPr>
        <w:pStyle w:val="ListParagraph"/>
        <w:numPr>
          <w:ilvl w:val="0"/>
          <w:numId w:val="5"/>
        </w:numPr>
        <w:tabs>
          <w:tab w:pos="380" w:val="left" w:leader="none"/>
        </w:tabs>
        <w:spacing w:line="271" w:lineRule="auto" w:before="108" w:after="0"/>
        <w:ind w:left="108" w:right="110" w:firstLine="0"/>
        <w:jc w:val="both"/>
        <w:rPr>
          <w:sz w:val="20"/>
        </w:rPr>
      </w:pPr>
      <w:r>
        <w:rPr>
          <w:w w:val="115"/>
          <w:sz w:val="20"/>
        </w:rPr>
        <w:t>valoarea rezultată dintr-un raport de evaluare întocmit de un evaluator autorizat în ultimii 5 ani anteriori anului de referinţă, depus la organul fiscal local până la primul termen de plată din anul de referinţă. În situaţia depunerii raportului de evaluare după primul termen de plată din anul de referinţă, acesta produce efecte începând cu data de 1 ianuarie a anului fiscal</w:t>
      </w:r>
      <w:r>
        <w:rPr>
          <w:spacing w:val="-24"/>
          <w:w w:val="115"/>
          <w:sz w:val="20"/>
        </w:rPr>
        <w:t> </w:t>
      </w:r>
      <w:r>
        <w:rPr>
          <w:w w:val="115"/>
          <w:sz w:val="20"/>
        </w:rPr>
        <w:t>următor;</w:t>
      </w:r>
    </w:p>
    <w:p>
      <w:pPr>
        <w:pStyle w:val="ListParagraph"/>
        <w:numPr>
          <w:ilvl w:val="0"/>
          <w:numId w:val="5"/>
        </w:numPr>
        <w:tabs>
          <w:tab w:pos="380" w:val="left" w:leader="none"/>
        </w:tabs>
        <w:spacing w:line="271" w:lineRule="auto" w:before="110" w:after="0"/>
        <w:ind w:left="108" w:right="111" w:firstLine="0"/>
        <w:jc w:val="both"/>
        <w:rPr>
          <w:rFonts w:ascii="Arial" w:hAnsi="Arial"/>
          <w:sz w:val="20"/>
        </w:rPr>
      </w:pPr>
      <w:r>
        <w:rPr>
          <w:w w:val="115"/>
          <w:sz w:val="20"/>
        </w:rPr>
        <w:t>valoarea finală a lucrărilor de construcţii, în cazul clădirilor noi, construite în ultimii 5 ani anteriori anului de</w:t>
      </w:r>
      <w:r>
        <w:rPr>
          <w:spacing w:val="-2"/>
          <w:w w:val="115"/>
          <w:sz w:val="20"/>
        </w:rPr>
        <w:t> </w:t>
      </w:r>
      <w:r>
        <w:rPr>
          <w:w w:val="115"/>
          <w:sz w:val="20"/>
        </w:rPr>
        <w:t>referinţă;</w:t>
      </w:r>
    </w:p>
    <w:p>
      <w:pPr>
        <w:pStyle w:val="ListParagraph"/>
        <w:numPr>
          <w:ilvl w:val="0"/>
          <w:numId w:val="5"/>
        </w:numPr>
        <w:tabs>
          <w:tab w:pos="322" w:val="left" w:leader="none"/>
        </w:tabs>
        <w:spacing w:line="271" w:lineRule="auto" w:before="108" w:after="0"/>
        <w:ind w:left="108" w:right="107" w:firstLine="58"/>
        <w:jc w:val="both"/>
        <w:rPr>
          <w:sz w:val="18"/>
        </w:rPr>
      </w:pPr>
      <w:r>
        <w:rPr>
          <w:w w:val="115"/>
          <w:sz w:val="20"/>
        </w:rPr>
        <w:t>valoarea clădirilor care rezultă din actul prin care se transferă dreptul de proprietate, în cazul clădirilor dobândite în ultimii 5 ani anteriori anului de referinţă. În situaţia în care nu este precizată valoarea, se utilizează ultima valoare înregistrată în baza de date a organului</w:t>
      </w:r>
      <w:r>
        <w:rPr>
          <w:spacing w:val="-18"/>
          <w:w w:val="115"/>
          <w:sz w:val="20"/>
        </w:rPr>
        <w:t> </w:t>
      </w:r>
      <w:r>
        <w:rPr>
          <w:w w:val="115"/>
          <w:sz w:val="20"/>
        </w:rPr>
        <w:t>fiscal;</w:t>
      </w:r>
    </w:p>
    <w:p>
      <w:pPr>
        <w:pStyle w:val="ListParagraph"/>
        <w:numPr>
          <w:ilvl w:val="1"/>
          <w:numId w:val="3"/>
        </w:numPr>
        <w:tabs>
          <w:tab w:pos="959" w:val="left" w:leader="none"/>
        </w:tabs>
        <w:spacing w:line="271" w:lineRule="auto" w:before="109" w:after="0"/>
        <w:ind w:left="108" w:right="109" w:firstLine="677"/>
        <w:jc w:val="both"/>
        <w:rPr>
          <w:rFonts w:ascii="Arial" w:hAnsi="Arial"/>
          <w:sz w:val="20"/>
        </w:rPr>
      </w:pPr>
      <w:r>
        <w:rPr>
          <w:w w:val="115"/>
          <w:sz w:val="20"/>
        </w:rPr>
        <w:t>Pentru</w:t>
      </w:r>
      <w:r>
        <w:rPr>
          <w:spacing w:val="-6"/>
          <w:w w:val="115"/>
          <w:sz w:val="20"/>
        </w:rPr>
        <w:t> </w:t>
      </w:r>
      <w:r>
        <w:rPr>
          <w:w w:val="115"/>
          <w:sz w:val="20"/>
        </w:rPr>
        <w:t>clădirile</w:t>
      </w:r>
      <w:r>
        <w:rPr>
          <w:spacing w:val="-5"/>
          <w:w w:val="115"/>
          <w:sz w:val="20"/>
        </w:rPr>
        <w:t> </w:t>
      </w:r>
      <w:r>
        <w:rPr>
          <w:w w:val="115"/>
          <w:sz w:val="20"/>
        </w:rPr>
        <w:t>nerezidenţiale</w:t>
      </w:r>
      <w:r>
        <w:rPr>
          <w:spacing w:val="-6"/>
          <w:w w:val="115"/>
          <w:sz w:val="20"/>
        </w:rPr>
        <w:t> </w:t>
      </w:r>
      <w:r>
        <w:rPr>
          <w:w w:val="115"/>
          <w:sz w:val="20"/>
        </w:rPr>
        <w:t>aflate</w:t>
      </w:r>
      <w:r>
        <w:rPr>
          <w:spacing w:val="-5"/>
          <w:w w:val="115"/>
          <w:sz w:val="20"/>
        </w:rPr>
        <w:t> </w:t>
      </w:r>
      <w:r>
        <w:rPr>
          <w:w w:val="115"/>
          <w:sz w:val="20"/>
        </w:rPr>
        <w:t>în</w:t>
      </w:r>
      <w:r>
        <w:rPr>
          <w:spacing w:val="-6"/>
          <w:w w:val="115"/>
          <w:sz w:val="20"/>
        </w:rPr>
        <w:t> </w:t>
      </w:r>
      <w:r>
        <w:rPr>
          <w:w w:val="115"/>
          <w:sz w:val="20"/>
        </w:rPr>
        <w:t>proprietatea</w:t>
      </w:r>
      <w:r>
        <w:rPr>
          <w:spacing w:val="-5"/>
          <w:w w:val="115"/>
          <w:sz w:val="20"/>
        </w:rPr>
        <w:t> </w:t>
      </w:r>
      <w:r>
        <w:rPr>
          <w:w w:val="115"/>
          <w:sz w:val="20"/>
        </w:rPr>
        <w:t>persoanelor</w:t>
      </w:r>
      <w:r>
        <w:rPr>
          <w:spacing w:val="-6"/>
          <w:w w:val="115"/>
          <w:sz w:val="20"/>
        </w:rPr>
        <w:t> </w:t>
      </w:r>
      <w:r>
        <w:rPr>
          <w:w w:val="115"/>
          <w:sz w:val="20"/>
        </w:rPr>
        <w:t>fizice,</w:t>
      </w:r>
      <w:r>
        <w:rPr>
          <w:spacing w:val="-5"/>
          <w:w w:val="115"/>
          <w:sz w:val="20"/>
        </w:rPr>
        <w:t> </w:t>
      </w:r>
      <w:r>
        <w:rPr>
          <w:w w:val="115"/>
          <w:sz w:val="20"/>
        </w:rPr>
        <w:t>utilizate</w:t>
      </w:r>
      <w:r>
        <w:rPr>
          <w:spacing w:val="-6"/>
          <w:w w:val="115"/>
          <w:sz w:val="20"/>
        </w:rPr>
        <w:t> </w:t>
      </w:r>
      <w:r>
        <w:rPr>
          <w:w w:val="115"/>
          <w:sz w:val="20"/>
        </w:rPr>
        <w:t>pentru</w:t>
      </w:r>
      <w:r>
        <w:rPr>
          <w:spacing w:val="-5"/>
          <w:w w:val="115"/>
          <w:sz w:val="20"/>
        </w:rPr>
        <w:t> </w:t>
      </w:r>
      <w:r>
        <w:rPr>
          <w:w w:val="115"/>
          <w:sz w:val="20"/>
        </w:rPr>
        <w:t>activităţi din domeniul agricol,impozitul pe clădiri se calculează prin aplicarea unei cote de 0,4 % asupra valorii impozabile a</w:t>
      </w:r>
      <w:r>
        <w:rPr>
          <w:spacing w:val="-2"/>
          <w:w w:val="115"/>
          <w:sz w:val="20"/>
        </w:rPr>
        <w:t> </w:t>
      </w:r>
      <w:r>
        <w:rPr>
          <w:w w:val="115"/>
          <w:sz w:val="20"/>
        </w:rPr>
        <w:t>clădirii.</w:t>
      </w:r>
    </w:p>
    <w:p>
      <w:pPr>
        <w:pStyle w:val="ListParagraph"/>
        <w:numPr>
          <w:ilvl w:val="1"/>
          <w:numId w:val="3"/>
        </w:numPr>
        <w:tabs>
          <w:tab w:pos="1350" w:val="left" w:leader="none"/>
        </w:tabs>
        <w:spacing w:line="271" w:lineRule="auto" w:before="109" w:after="0"/>
        <w:ind w:left="108" w:right="106" w:firstLine="1004"/>
        <w:jc w:val="left"/>
        <w:rPr>
          <w:sz w:val="20"/>
        </w:rPr>
      </w:pPr>
      <w:r>
        <w:rPr>
          <w:w w:val="115"/>
          <w:sz w:val="20"/>
        </w:rPr>
        <w:t>În cazul clădirilor cu destinaţie mixtă aflate în proprietatea persoanelor fizice, impozitul se calculează prin</w:t>
      </w:r>
      <w:r>
        <w:rPr>
          <w:spacing w:val="-2"/>
          <w:w w:val="115"/>
          <w:sz w:val="20"/>
        </w:rPr>
        <w:t> </w:t>
      </w:r>
      <w:r>
        <w:rPr>
          <w:w w:val="115"/>
          <w:sz w:val="20"/>
        </w:rPr>
        <w:t>însumarea:</w:t>
      </w:r>
    </w:p>
    <w:p>
      <w:pPr>
        <w:pStyle w:val="BodyText"/>
        <w:spacing w:before="108"/>
        <w:ind w:left="107"/>
      </w:pPr>
      <w:r>
        <w:rPr>
          <w:rFonts w:ascii="Arial" w:hAnsi="Arial"/>
          <w:b/>
          <w:w w:val="115"/>
        </w:rPr>
        <w:t>a) </w:t>
      </w:r>
      <w:r>
        <w:rPr>
          <w:w w:val="115"/>
        </w:rPr>
        <w:t>impozitului calculat pentru suprafaţa folosită în scop rezidenţial conform alin.2.</w:t>
      </w:r>
    </w:p>
    <w:p>
      <w:pPr>
        <w:pStyle w:val="BodyText"/>
        <w:spacing w:line="271" w:lineRule="auto" w:before="140"/>
        <w:ind w:left="107" w:right="114" w:firstLine="76"/>
      </w:pPr>
      <w:r>
        <w:rPr>
          <w:rFonts w:ascii="Arial" w:hAnsi="Arial"/>
          <w:b/>
          <w:w w:val="115"/>
        </w:rPr>
        <w:t>b ) </w:t>
      </w:r>
      <w:r>
        <w:rPr>
          <w:w w:val="115"/>
        </w:rPr>
        <w:t>impozitului determinat pentru suprafaţa folosită în scop nerezidenţial, indicată prin declaraţie pe propria răspundere, prin aplicarea cotei menţionate la alin. 6 asupra valorii impozabile determinate potrivit alin.2 fără a fi necesară stabilirea valorii prin depunerea documentelor prevăzute la alin. 6 .</w:t>
      </w:r>
    </w:p>
    <w:p>
      <w:pPr>
        <w:pStyle w:val="ListParagraph"/>
        <w:numPr>
          <w:ilvl w:val="1"/>
          <w:numId w:val="3"/>
        </w:numPr>
        <w:tabs>
          <w:tab w:pos="360" w:val="left" w:leader="none"/>
        </w:tabs>
        <w:spacing w:line="271" w:lineRule="auto" w:before="109" w:after="0"/>
        <w:ind w:left="108" w:right="120" w:firstLine="0"/>
        <w:jc w:val="both"/>
        <w:rPr>
          <w:sz w:val="20"/>
        </w:rPr>
      </w:pPr>
      <w:r>
        <w:rPr>
          <w:w w:val="115"/>
          <w:sz w:val="20"/>
        </w:rPr>
        <w:t>În cazul în care la adresa clădirii este înregistrat un domiciliu fiscal la care nu se desfăşoară nici o activitate economică, impozitul se calculează conform</w:t>
      </w:r>
      <w:r>
        <w:rPr>
          <w:spacing w:val="-12"/>
          <w:w w:val="115"/>
          <w:sz w:val="20"/>
        </w:rPr>
        <w:t> </w:t>
      </w:r>
      <w:r>
        <w:rPr>
          <w:w w:val="115"/>
          <w:sz w:val="20"/>
        </w:rPr>
        <w:t>alin.2.</w:t>
      </w:r>
    </w:p>
    <w:p>
      <w:pPr>
        <w:pStyle w:val="ListParagraph"/>
        <w:numPr>
          <w:ilvl w:val="1"/>
          <w:numId w:val="3"/>
        </w:numPr>
        <w:tabs>
          <w:tab w:pos="450" w:val="left" w:leader="none"/>
        </w:tabs>
        <w:spacing w:line="271" w:lineRule="auto" w:before="109" w:after="0"/>
        <w:ind w:left="108" w:right="109" w:firstLine="0"/>
        <w:jc w:val="both"/>
        <w:rPr>
          <w:sz w:val="20"/>
        </w:rPr>
      </w:pPr>
      <w:r>
        <w:rPr>
          <w:w w:val="115"/>
          <w:sz w:val="20"/>
        </w:rPr>
        <w:t>În cazul clădirilor cu destinaţie mixtă, când proprietarul nu declară la organul fiscal suprafaţa folosită în scop nerezidenţial, potrivit alin.8, lit. b), impozitul pe clădiri se calculează prin aplicarea cotei de 0.3% asupra valorii impozabile determinate conform</w:t>
      </w:r>
      <w:r>
        <w:rPr>
          <w:spacing w:val="-8"/>
          <w:w w:val="115"/>
          <w:sz w:val="20"/>
        </w:rPr>
        <w:t> </w:t>
      </w:r>
      <w:r>
        <w:rPr>
          <w:w w:val="115"/>
          <w:sz w:val="20"/>
        </w:rPr>
        <w:t>alin.2.</w:t>
      </w:r>
    </w:p>
    <w:p>
      <w:pPr>
        <w:pStyle w:val="Heading2"/>
        <w:numPr>
          <w:ilvl w:val="0"/>
          <w:numId w:val="3"/>
        </w:numPr>
        <w:tabs>
          <w:tab w:pos="836" w:val="left" w:leader="none"/>
        </w:tabs>
        <w:spacing w:line="240" w:lineRule="auto" w:before="108" w:after="0"/>
        <w:ind w:left="835" w:right="0" w:hanging="209"/>
        <w:jc w:val="left"/>
        <w:rPr>
          <w:rFonts w:ascii="Calibri" w:hAnsi="Calibri"/>
        </w:rPr>
      </w:pPr>
      <w:r>
        <w:rPr>
          <w:spacing w:val="-1"/>
          <w:w w:val="109"/>
        </w:rPr>
        <w:t>I</w:t>
      </w:r>
      <w:r>
        <w:rPr>
          <w:spacing w:val="-1"/>
          <w:w w:val="110"/>
        </w:rPr>
        <w:t>M</w:t>
      </w:r>
      <w:r>
        <w:rPr>
          <w:spacing w:val="-1"/>
          <w:w w:val="91"/>
        </w:rPr>
        <w:t>P</w:t>
      </w:r>
      <w:r>
        <w:rPr>
          <w:spacing w:val="-1"/>
          <w:w w:val="100"/>
        </w:rPr>
        <w:t>O</w:t>
      </w:r>
      <w:r>
        <w:rPr>
          <w:spacing w:val="-1"/>
          <w:w w:val="94"/>
        </w:rPr>
        <w:t>Z</w:t>
      </w:r>
      <w:r>
        <w:rPr>
          <w:spacing w:val="-1"/>
          <w:w w:val="109"/>
        </w:rPr>
        <w:t>I</w:t>
      </w:r>
      <w:r>
        <w:rPr>
          <w:w w:val="92"/>
        </w:rPr>
        <w:t>T</w:t>
      </w:r>
      <w:r>
        <w:rPr>
          <w:spacing w:val="-1"/>
          <w:w w:val="102"/>
        </w:rPr>
        <w:t>U</w:t>
      </w:r>
      <w:r>
        <w:rPr>
          <w:w w:val="88"/>
        </w:rPr>
        <w:t>L</w:t>
      </w:r>
      <w:r>
        <w:rPr>
          <w:spacing w:val="-4"/>
        </w:rPr>
        <w:t> </w:t>
      </w:r>
      <w:r>
        <w:rPr>
          <w:spacing w:val="-1"/>
          <w:w w:val="91"/>
        </w:rPr>
        <w:t>P</w:t>
      </w:r>
      <w:r>
        <w:rPr>
          <w:w w:val="83"/>
        </w:rPr>
        <w:t>E</w:t>
      </w:r>
      <w:r>
        <w:rPr>
          <w:spacing w:val="-4"/>
        </w:rPr>
        <w:t> </w:t>
      </w:r>
      <w:r>
        <w:rPr>
          <w:spacing w:val="-1"/>
          <w:w w:val="87"/>
        </w:rPr>
        <w:t>C</w:t>
      </w:r>
      <w:r>
        <w:rPr>
          <w:spacing w:val="-1"/>
          <w:w w:val="88"/>
        </w:rPr>
        <w:t>L</w:t>
      </w:r>
      <w:r>
        <w:rPr>
          <w:spacing w:val="-1"/>
          <w:w w:val="91"/>
        </w:rPr>
        <w:t>Ă</w:t>
      </w:r>
      <w:r>
        <w:rPr>
          <w:spacing w:val="-1"/>
          <w:w w:val="101"/>
        </w:rPr>
        <w:t>D</w:t>
      </w:r>
      <w:r>
        <w:rPr>
          <w:spacing w:val="-1"/>
          <w:w w:val="109"/>
        </w:rPr>
        <w:t>I</w:t>
      </w:r>
      <w:r>
        <w:rPr>
          <w:spacing w:val="-1"/>
          <w:w w:val="88"/>
        </w:rPr>
        <w:t>R</w:t>
      </w:r>
      <w:r>
        <w:rPr>
          <w:w w:val="109"/>
        </w:rPr>
        <w:t>I</w:t>
      </w:r>
      <w:r>
        <w:rPr>
          <w:spacing w:val="-4"/>
        </w:rPr>
        <w:t> </w:t>
      </w:r>
      <w:r>
        <w:rPr>
          <w:spacing w:val="-1"/>
          <w:w w:val="91"/>
        </w:rPr>
        <w:t>P</w:t>
      </w:r>
      <w:r>
        <w:rPr>
          <w:spacing w:val="-1"/>
          <w:w w:val="83"/>
        </w:rPr>
        <w:t>E</w:t>
      </w:r>
      <w:r>
        <w:rPr>
          <w:spacing w:val="-1"/>
          <w:w w:val="88"/>
        </w:rPr>
        <w:t>R</w:t>
      </w:r>
      <w:r>
        <w:rPr>
          <w:spacing w:val="-1"/>
          <w:w w:val="82"/>
        </w:rPr>
        <w:t>S</w:t>
      </w:r>
      <w:r>
        <w:rPr>
          <w:spacing w:val="-1"/>
          <w:w w:val="100"/>
        </w:rPr>
        <w:t>O</w:t>
      </w:r>
      <w:r>
        <w:rPr>
          <w:spacing w:val="-1"/>
          <w:w w:val="91"/>
        </w:rPr>
        <w:t>A</w:t>
      </w:r>
      <w:r>
        <w:rPr>
          <w:spacing w:val="-1"/>
          <w:w w:val="108"/>
        </w:rPr>
        <w:t>N</w:t>
      </w:r>
      <w:r>
        <w:rPr>
          <w:w w:val="83"/>
        </w:rPr>
        <w:t>E</w:t>
      </w:r>
      <w:r>
        <w:rPr>
          <w:spacing w:val="-4"/>
        </w:rPr>
        <w:t> </w:t>
      </w:r>
      <w:r>
        <w:rPr>
          <w:spacing w:val="-1"/>
          <w:w w:val="53"/>
        </w:rPr>
        <w:t>J</w:t>
      </w:r>
      <w:r>
        <w:rPr>
          <w:spacing w:val="-1"/>
          <w:w w:val="102"/>
        </w:rPr>
        <w:t>U</w:t>
      </w:r>
      <w:r>
        <w:rPr>
          <w:spacing w:val="-1"/>
          <w:w w:val="88"/>
        </w:rPr>
        <w:t>R</w:t>
      </w:r>
      <w:r>
        <w:rPr>
          <w:spacing w:val="-1"/>
          <w:w w:val="109"/>
        </w:rPr>
        <w:t>I</w:t>
      </w:r>
      <w:r>
        <w:rPr>
          <w:spacing w:val="-1"/>
          <w:w w:val="101"/>
        </w:rPr>
        <w:t>D</w:t>
      </w:r>
      <w:r>
        <w:rPr>
          <w:spacing w:val="-1"/>
          <w:w w:val="109"/>
        </w:rPr>
        <w:t>I</w:t>
      </w:r>
      <w:r>
        <w:rPr>
          <w:spacing w:val="-1"/>
          <w:w w:val="87"/>
        </w:rPr>
        <w:t>C</w:t>
      </w:r>
      <w:r>
        <w:rPr>
          <w:w w:val="83"/>
        </w:rPr>
        <w:t>E</w:t>
      </w:r>
      <w:r>
        <w:rPr/>
        <w:t>  </w:t>
      </w:r>
      <w:r>
        <w:rPr>
          <w:spacing w:val="-12"/>
        </w:rPr>
        <w:t> </w:t>
      </w:r>
      <w:r>
        <w:rPr>
          <w:w w:val="82"/>
        </w:rPr>
        <w:t>:</w:t>
      </w:r>
    </w:p>
    <w:p>
      <w:pPr>
        <w:pStyle w:val="ListParagraph"/>
        <w:numPr>
          <w:ilvl w:val="2"/>
          <w:numId w:val="3"/>
        </w:numPr>
        <w:tabs>
          <w:tab w:pos="586" w:val="left" w:leader="none"/>
        </w:tabs>
        <w:spacing w:line="271" w:lineRule="auto" w:before="140" w:after="0"/>
        <w:ind w:left="108" w:right="105" w:firstLine="259"/>
        <w:jc w:val="left"/>
        <w:rPr>
          <w:sz w:val="20"/>
        </w:rPr>
      </w:pPr>
      <w:r>
        <w:rPr>
          <w:w w:val="115"/>
          <w:sz w:val="20"/>
        </w:rPr>
        <w:t>Pentru</w:t>
      </w:r>
      <w:r>
        <w:rPr>
          <w:spacing w:val="-13"/>
          <w:w w:val="115"/>
          <w:sz w:val="20"/>
        </w:rPr>
        <w:t> </w:t>
      </w:r>
      <w:r>
        <w:rPr>
          <w:w w:val="115"/>
          <w:sz w:val="20"/>
        </w:rPr>
        <w:t>clădirile</w:t>
      </w:r>
      <w:r>
        <w:rPr>
          <w:spacing w:val="-13"/>
          <w:w w:val="115"/>
          <w:sz w:val="20"/>
        </w:rPr>
        <w:t> </w:t>
      </w:r>
      <w:r>
        <w:rPr>
          <w:w w:val="115"/>
          <w:sz w:val="20"/>
        </w:rPr>
        <w:t>rezidenţiale</w:t>
      </w:r>
      <w:r>
        <w:rPr>
          <w:spacing w:val="-13"/>
          <w:w w:val="115"/>
          <w:sz w:val="20"/>
        </w:rPr>
        <w:t> </w:t>
      </w:r>
      <w:r>
        <w:rPr>
          <w:w w:val="115"/>
          <w:sz w:val="20"/>
        </w:rPr>
        <w:t>aflate</w:t>
      </w:r>
      <w:r>
        <w:rPr>
          <w:spacing w:val="-12"/>
          <w:w w:val="115"/>
          <w:sz w:val="20"/>
        </w:rPr>
        <w:t> </w:t>
      </w:r>
      <w:r>
        <w:rPr>
          <w:w w:val="115"/>
          <w:sz w:val="20"/>
        </w:rPr>
        <w:t>în</w:t>
      </w:r>
      <w:r>
        <w:rPr>
          <w:spacing w:val="-13"/>
          <w:w w:val="115"/>
          <w:sz w:val="20"/>
        </w:rPr>
        <w:t> </w:t>
      </w:r>
      <w:r>
        <w:rPr>
          <w:w w:val="115"/>
          <w:sz w:val="20"/>
        </w:rPr>
        <w:t>proprietatea</w:t>
      </w:r>
      <w:r>
        <w:rPr>
          <w:spacing w:val="-13"/>
          <w:w w:val="115"/>
          <w:sz w:val="20"/>
        </w:rPr>
        <w:t> </w:t>
      </w:r>
      <w:r>
        <w:rPr>
          <w:w w:val="115"/>
          <w:sz w:val="20"/>
        </w:rPr>
        <w:t>sau</w:t>
      </w:r>
      <w:r>
        <w:rPr>
          <w:spacing w:val="-12"/>
          <w:w w:val="115"/>
          <w:sz w:val="20"/>
        </w:rPr>
        <w:t> </w:t>
      </w:r>
      <w:r>
        <w:rPr>
          <w:w w:val="115"/>
          <w:sz w:val="20"/>
        </w:rPr>
        <w:t>deţinute</w:t>
      </w:r>
      <w:r>
        <w:rPr>
          <w:spacing w:val="-13"/>
          <w:w w:val="115"/>
          <w:sz w:val="20"/>
        </w:rPr>
        <w:t> </w:t>
      </w:r>
      <w:r>
        <w:rPr>
          <w:w w:val="115"/>
          <w:sz w:val="20"/>
        </w:rPr>
        <w:t>de</w:t>
      </w:r>
      <w:r>
        <w:rPr>
          <w:spacing w:val="-13"/>
          <w:w w:val="115"/>
          <w:sz w:val="20"/>
        </w:rPr>
        <w:t> </w:t>
      </w:r>
      <w:r>
        <w:rPr>
          <w:w w:val="115"/>
          <w:sz w:val="20"/>
        </w:rPr>
        <w:t>persoanele</w:t>
      </w:r>
      <w:r>
        <w:rPr>
          <w:spacing w:val="-13"/>
          <w:w w:val="115"/>
          <w:sz w:val="20"/>
        </w:rPr>
        <w:t> </w:t>
      </w:r>
      <w:r>
        <w:rPr>
          <w:w w:val="115"/>
          <w:sz w:val="20"/>
        </w:rPr>
        <w:t>juridice,</w:t>
      </w:r>
      <w:r>
        <w:rPr>
          <w:spacing w:val="-12"/>
          <w:w w:val="115"/>
          <w:sz w:val="20"/>
        </w:rPr>
        <w:t> </w:t>
      </w:r>
      <w:r>
        <w:rPr>
          <w:w w:val="115"/>
          <w:sz w:val="20"/>
        </w:rPr>
        <w:t>impozitul/taxa pe</w:t>
      </w:r>
      <w:r>
        <w:rPr>
          <w:spacing w:val="-3"/>
          <w:w w:val="115"/>
          <w:sz w:val="20"/>
        </w:rPr>
        <w:t> </w:t>
      </w:r>
      <w:r>
        <w:rPr>
          <w:w w:val="115"/>
          <w:sz w:val="20"/>
        </w:rPr>
        <w:t>clădiri</w:t>
      </w:r>
      <w:r>
        <w:rPr>
          <w:spacing w:val="-3"/>
          <w:w w:val="115"/>
          <w:sz w:val="20"/>
        </w:rPr>
        <w:t> </w:t>
      </w:r>
      <w:r>
        <w:rPr>
          <w:w w:val="115"/>
          <w:sz w:val="20"/>
        </w:rPr>
        <w:t>se</w:t>
      </w:r>
      <w:r>
        <w:rPr>
          <w:spacing w:val="-3"/>
          <w:w w:val="115"/>
          <w:sz w:val="20"/>
        </w:rPr>
        <w:t> </w:t>
      </w:r>
      <w:r>
        <w:rPr>
          <w:w w:val="115"/>
          <w:sz w:val="20"/>
        </w:rPr>
        <w:t>calculează</w:t>
      </w:r>
      <w:r>
        <w:rPr>
          <w:spacing w:val="-2"/>
          <w:w w:val="115"/>
          <w:sz w:val="20"/>
        </w:rPr>
        <w:t> </w:t>
      </w:r>
      <w:r>
        <w:rPr>
          <w:w w:val="115"/>
          <w:sz w:val="20"/>
        </w:rPr>
        <w:t>prin</w:t>
      </w:r>
      <w:r>
        <w:rPr>
          <w:spacing w:val="-3"/>
          <w:w w:val="115"/>
          <w:sz w:val="20"/>
        </w:rPr>
        <w:t> </w:t>
      </w:r>
      <w:r>
        <w:rPr>
          <w:w w:val="115"/>
          <w:sz w:val="20"/>
        </w:rPr>
        <w:t>aplicarea</w:t>
      </w:r>
      <w:r>
        <w:rPr>
          <w:spacing w:val="-3"/>
          <w:w w:val="115"/>
          <w:sz w:val="20"/>
        </w:rPr>
        <w:t> </w:t>
      </w:r>
      <w:r>
        <w:rPr>
          <w:w w:val="115"/>
          <w:sz w:val="20"/>
        </w:rPr>
        <w:t>unei</w:t>
      </w:r>
      <w:r>
        <w:rPr>
          <w:spacing w:val="-2"/>
          <w:w w:val="115"/>
          <w:sz w:val="20"/>
        </w:rPr>
        <w:t> </w:t>
      </w:r>
      <w:r>
        <w:rPr>
          <w:w w:val="115"/>
          <w:sz w:val="20"/>
        </w:rPr>
        <w:t>cote</w:t>
      </w:r>
      <w:r>
        <w:rPr>
          <w:spacing w:val="-3"/>
          <w:w w:val="115"/>
          <w:sz w:val="20"/>
        </w:rPr>
        <w:t> </w:t>
      </w:r>
      <w:r>
        <w:rPr>
          <w:w w:val="115"/>
          <w:sz w:val="20"/>
        </w:rPr>
        <w:t>de</w:t>
      </w:r>
      <w:r>
        <w:rPr>
          <w:spacing w:val="-3"/>
          <w:w w:val="115"/>
          <w:sz w:val="20"/>
        </w:rPr>
        <w:t> </w:t>
      </w:r>
      <w:r>
        <w:rPr>
          <w:w w:val="115"/>
          <w:sz w:val="20"/>
        </w:rPr>
        <w:t>0,1</w:t>
      </w:r>
      <w:r>
        <w:rPr>
          <w:spacing w:val="-2"/>
          <w:w w:val="115"/>
          <w:sz w:val="20"/>
        </w:rPr>
        <w:t> </w:t>
      </w:r>
      <w:r>
        <w:rPr>
          <w:w w:val="115"/>
          <w:sz w:val="20"/>
        </w:rPr>
        <w:t>%</w:t>
      </w:r>
      <w:r>
        <w:rPr>
          <w:spacing w:val="-3"/>
          <w:w w:val="115"/>
          <w:sz w:val="20"/>
        </w:rPr>
        <w:t> </w:t>
      </w:r>
      <w:r>
        <w:rPr>
          <w:w w:val="115"/>
          <w:sz w:val="20"/>
        </w:rPr>
        <w:t>asupra</w:t>
      </w:r>
      <w:r>
        <w:rPr>
          <w:spacing w:val="-3"/>
          <w:w w:val="115"/>
          <w:sz w:val="20"/>
        </w:rPr>
        <w:t> </w:t>
      </w:r>
      <w:r>
        <w:rPr>
          <w:w w:val="115"/>
          <w:sz w:val="20"/>
        </w:rPr>
        <w:t>valorii</w:t>
      </w:r>
      <w:r>
        <w:rPr>
          <w:spacing w:val="-3"/>
          <w:w w:val="115"/>
          <w:sz w:val="20"/>
        </w:rPr>
        <w:t> </w:t>
      </w:r>
      <w:r>
        <w:rPr>
          <w:w w:val="115"/>
          <w:sz w:val="20"/>
        </w:rPr>
        <w:t>impozabile</w:t>
      </w:r>
      <w:r>
        <w:rPr>
          <w:spacing w:val="-2"/>
          <w:w w:val="115"/>
          <w:sz w:val="20"/>
        </w:rPr>
        <w:t> </w:t>
      </w:r>
      <w:r>
        <w:rPr>
          <w:w w:val="115"/>
          <w:sz w:val="20"/>
        </w:rPr>
        <w:t>a</w:t>
      </w:r>
      <w:r>
        <w:rPr>
          <w:spacing w:val="-3"/>
          <w:w w:val="115"/>
          <w:sz w:val="20"/>
        </w:rPr>
        <w:t> </w:t>
      </w:r>
      <w:r>
        <w:rPr>
          <w:w w:val="115"/>
          <w:sz w:val="20"/>
        </w:rPr>
        <w:t>clădirii.</w:t>
      </w:r>
    </w:p>
    <w:p>
      <w:pPr>
        <w:pStyle w:val="ListParagraph"/>
        <w:numPr>
          <w:ilvl w:val="2"/>
          <w:numId w:val="3"/>
        </w:numPr>
        <w:tabs>
          <w:tab w:pos="1086" w:val="left" w:leader="none"/>
        </w:tabs>
        <w:spacing w:line="271" w:lineRule="auto" w:before="109" w:after="0"/>
        <w:ind w:left="108" w:right="116" w:firstLine="695"/>
        <w:jc w:val="both"/>
        <w:rPr>
          <w:sz w:val="20"/>
        </w:rPr>
      </w:pPr>
      <w:r>
        <w:rPr>
          <w:w w:val="115"/>
          <w:sz w:val="20"/>
        </w:rPr>
        <w:t>Pentru clădirile nerezidenţiale aflate în proprietatea sau deţinute de persoanele juridice, impozitul/taxa</w:t>
      </w:r>
      <w:r>
        <w:rPr>
          <w:spacing w:val="-8"/>
          <w:w w:val="115"/>
          <w:sz w:val="20"/>
        </w:rPr>
        <w:t> </w:t>
      </w:r>
      <w:r>
        <w:rPr>
          <w:w w:val="115"/>
          <w:sz w:val="20"/>
        </w:rPr>
        <w:t>pe</w:t>
      </w:r>
      <w:r>
        <w:rPr>
          <w:spacing w:val="-8"/>
          <w:w w:val="115"/>
          <w:sz w:val="20"/>
        </w:rPr>
        <w:t> </w:t>
      </w:r>
      <w:r>
        <w:rPr>
          <w:w w:val="115"/>
          <w:sz w:val="20"/>
        </w:rPr>
        <w:t>clădiri</w:t>
      </w:r>
      <w:r>
        <w:rPr>
          <w:spacing w:val="-8"/>
          <w:w w:val="115"/>
          <w:sz w:val="20"/>
        </w:rPr>
        <w:t> </w:t>
      </w:r>
      <w:r>
        <w:rPr>
          <w:w w:val="115"/>
          <w:sz w:val="20"/>
        </w:rPr>
        <w:t>se</w:t>
      </w:r>
      <w:r>
        <w:rPr>
          <w:spacing w:val="-7"/>
          <w:w w:val="115"/>
          <w:sz w:val="20"/>
        </w:rPr>
        <w:t> </w:t>
      </w:r>
      <w:r>
        <w:rPr>
          <w:w w:val="115"/>
          <w:sz w:val="20"/>
        </w:rPr>
        <w:t>calculează</w:t>
      </w:r>
      <w:r>
        <w:rPr>
          <w:spacing w:val="-8"/>
          <w:w w:val="115"/>
          <w:sz w:val="20"/>
        </w:rPr>
        <w:t> </w:t>
      </w:r>
      <w:r>
        <w:rPr>
          <w:w w:val="115"/>
          <w:sz w:val="20"/>
        </w:rPr>
        <w:t>prin</w:t>
      </w:r>
      <w:r>
        <w:rPr>
          <w:spacing w:val="-8"/>
          <w:w w:val="115"/>
          <w:sz w:val="20"/>
        </w:rPr>
        <w:t> </w:t>
      </w:r>
      <w:r>
        <w:rPr>
          <w:w w:val="115"/>
          <w:sz w:val="20"/>
        </w:rPr>
        <w:t>aplicarea</w:t>
      </w:r>
      <w:r>
        <w:rPr>
          <w:spacing w:val="-7"/>
          <w:w w:val="115"/>
          <w:sz w:val="20"/>
        </w:rPr>
        <w:t> </w:t>
      </w:r>
      <w:r>
        <w:rPr>
          <w:w w:val="115"/>
          <w:sz w:val="20"/>
        </w:rPr>
        <w:t>unei</w:t>
      </w:r>
      <w:r>
        <w:rPr>
          <w:spacing w:val="-8"/>
          <w:w w:val="115"/>
          <w:sz w:val="20"/>
        </w:rPr>
        <w:t> </w:t>
      </w:r>
      <w:r>
        <w:rPr>
          <w:w w:val="115"/>
          <w:sz w:val="20"/>
        </w:rPr>
        <w:t>cote</w:t>
      </w:r>
      <w:r>
        <w:rPr>
          <w:spacing w:val="-8"/>
          <w:w w:val="115"/>
          <w:sz w:val="20"/>
        </w:rPr>
        <w:t> </w:t>
      </w:r>
      <w:r>
        <w:rPr>
          <w:w w:val="115"/>
          <w:sz w:val="20"/>
        </w:rPr>
        <w:t>de</w:t>
      </w:r>
      <w:r>
        <w:rPr>
          <w:spacing w:val="-7"/>
          <w:w w:val="115"/>
          <w:sz w:val="20"/>
        </w:rPr>
        <w:t> </w:t>
      </w:r>
      <w:r>
        <w:rPr>
          <w:w w:val="115"/>
          <w:sz w:val="20"/>
        </w:rPr>
        <w:t>0,5%</w:t>
      </w:r>
      <w:r>
        <w:rPr>
          <w:spacing w:val="-8"/>
          <w:w w:val="115"/>
          <w:sz w:val="20"/>
        </w:rPr>
        <w:t> </w:t>
      </w:r>
      <w:r>
        <w:rPr>
          <w:w w:val="115"/>
          <w:sz w:val="20"/>
        </w:rPr>
        <w:t>asupra</w:t>
      </w:r>
      <w:r>
        <w:rPr>
          <w:spacing w:val="-8"/>
          <w:w w:val="115"/>
          <w:sz w:val="20"/>
        </w:rPr>
        <w:t> </w:t>
      </w:r>
      <w:r>
        <w:rPr>
          <w:w w:val="115"/>
          <w:sz w:val="20"/>
        </w:rPr>
        <w:t>valorii</w:t>
      </w:r>
      <w:r>
        <w:rPr>
          <w:spacing w:val="-7"/>
          <w:w w:val="115"/>
          <w:sz w:val="20"/>
        </w:rPr>
        <w:t> </w:t>
      </w:r>
      <w:r>
        <w:rPr>
          <w:w w:val="115"/>
          <w:sz w:val="20"/>
        </w:rPr>
        <w:t>impozabile</w:t>
      </w:r>
      <w:r>
        <w:rPr>
          <w:spacing w:val="-8"/>
          <w:w w:val="115"/>
          <w:sz w:val="20"/>
        </w:rPr>
        <w:t> </w:t>
      </w:r>
      <w:r>
        <w:rPr>
          <w:w w:val="115"/>
          <w:sz w:val="20"/>
        </w:rPr>
        <w:t>a</w:t>
      </w:r>
      <w:r>
        <w:rPr>
          <w:spacing w:val="-8"/>
          <w:w w:val="115"/>
          <w:sz w:val="20"/>
        </w:rPr>
        <w:t> </w:t>
      </w:r>
      <w:r>
        <w:rPr>
          <w:w w:val="115"/>
          <w:sz w:val="20"/>
        </w:rPr>
        <w:t>clădirii.</w:t>
      </w:r>
    </w:p>
    <w:p>
      <w:pPr>
        <w:pStyle w:val="ListParagraph"/>
        <w:numPr>
          <w:ilvl w:val="2"/>
          <w:numId w:val="3"/>
        </w:numPr>
        <w:tabs>
          <w:tab w:pos="757" w:val="left" w:leader="none"/>
        </w:tabs>
        <w:spacing w:line="271" w:lineRule="auto" w:before="108" w:after="0"/>
        <w:ind w:left="108" w:right="113" w:firstLine="413"/>
        <w:jc w:val="both"/>
        <w:rPr>
          <w:sz w:val="20"/>
        </w:rPr>
      </w:pPr>
      <w:r>
        <w:rPr>
          <w:w w:val="115"/>
          <w:sz w:val="20"/>
        </w:rPr>
        <w:t>Pentru clădirile nerezidenţiale aflate în proprietatea sau deţinute de persoanele juridice, utilizate pentru activităţi din domeniul agricol, impozitul/taxa pe clădiri se calculează prin aplicarea unei cote de 0,4% asupra valorii impozabile a</w:t>
      </w:r>
      <w:r>
        <w:rPr>
          <w:spacing w:val="-6"/>
          <w:w w:val="115"/>
          <w:sz w:val="20"/>
        </w:rPr>
        <w:t> </w:t>
      </w:r>
      <w:r>
        <w:rPr>
          <w:w w:val="115"/>
          <w:sz w:val="20"/>
        </w:rPr>
        <w:t>clădirii.</w:t>
      </w:r>
    </w:p>
    <w:p>
      <w:pPr>
        <w:pStyle w:val="ListParagraph"/>
        <w:numPr>
          <w:ilvl w:val="2"/>
          <w:numId w:val="3"/>
        </w:numPr>
        <w:tabs>
          <w:tab w:pos="1011" w:val="left" w:leader="none"/>
        </w:tabs>
        <w:spacing w:line="271" w:lineRule="auto" w:before="109" w:after="0"/>
        <w:ind w:left="108" w:right="109" w:firstLine="654"/>
        <w:jc w:val="both"/>
        <w:rPr>
          <w:sz w:val="20"/>
        </w:rPr>
      </w:pPr>
      <w:r>
        <w:rPr>
          <w:w w:val="115"/>
          <w:sz w:val="20"/>
        </w:rPr>
        <w:t>În cazul clădirilor cu destinaţie mixtă aflate în proprietatea persoanelor juridice, impozitul se determină prin însumarea impozitului calculat pentru suprafaţa folosită în scop rezidenţial conform alin. (1),</w:t>
      </w:r>
      <w:r>
        <w:rPr>
          <w:spacing w:val="-7"/>
          <w:w w:val="115"/>
          <w:sz w:val="20"/>
        </w:rPr>
        <w:t> </w:t>
      </w:r>
      <w:r>
        <w:rPr>
          <w:w w:val="115"/>
          <w:sz w:val="20"/>
        </w:rPr>
        <w:t>cu</w:t>
      </w:r>
      <w:r>
        <w:rPr>
          <w:spacing w:val="-6"/>
          <w:w w:val="115"/>
          <w:sz w:val="20"/>
        </w:rPr>
        <w:t> </w:t>
      </w:r>
      <w:r>
        <w:rPr>
          <w:w w:val="115"/>
          <w:sz w:val="20"/>
        </w:rPr>
        <w:t>impozitul</w:t>
      </w:r>
      <w:r>
        <w:rPr>
          <w:spacing w:val="-6"/>
          <w:w w:val="115"/>
          <w:sz w:val="20"/>
        </w:rPr>
        <w:t> </w:t>
      </w:r>
      <w:r>
        <w:rPr>
          <w:w w:val="115"/>
          <w:sz w:val="20"/>
        </w:rPr>
        <w:t>calculat</w:t>
      </w:r>
      <w:r>
        <w:rPr>
          <w:spacing w:val="-7"/>
          <w:w w:val="115"/>
          <w:sz w:val="20"/>
        </w:rPr>
        <w:t> </w:t>
      </w:r>
      <w:r>
        <w:rPr>
          <w:w w:val="115"/>
          <w:sz w:val="20"/>
        </w:rPr>
        <w:t>pentru</w:t>
      </w:r>
      <w:r>
        <w:rPr>
          <w:spacing w:val="-6"/>
          <w:w w:val="115"/>
          <w:sz w:val="20"/>
        </w:rPr>
        <w:t> </w:t>
      </w:r>
      <w:r>
        <w:rPr>
          <w:w w:val="115"/>
          <w:sz w:val="20"/>
        </w:rPr>
        <w:t>suprafaţa</w:t>
      </w:r>
      <w:r>
        <w:rPr>
          <w:spacing w:val="-6"/>
          <w:w w:val="115"/>
          <w:sz w:val="20"/>
        </w:rPr>
        <w:t> </w:t>
      </w:r>
      <w:r>
        <w:rPr>
          <w:w w:val="115"/>
          <w:sz w:val="20"/>
        </w:rPr>
        <w:t>folosită</w:t>
      </w:r>
      <w:r>
        <w:rPr>
          <w:spacing w:val="-7"/>
          <w:w w:val="115"/>
          <w:sz w:val="20"/>
        </w:rPr>
        <w:t> </w:t>
      </w:r>
      <w:r>
        <w:rPr>
          <w:w w:val="115"/>
          <w:sz w:val="20"/>
        </w:rPr>
        <w:t>în</w:t>
      </w:r>
      <w:r>
        <w:rPr>
          <w:spacing w:val="-6"/>
          <w:w w:val="115"/>
          <w:sz w:val="20"/>
        </w:rPr>
        <w:t> </w:t>
      </w:r>
      <w:r>
        <w:rPr>
          <w:w w:val="115"/>
          <w:sz w:val="20"/>
        </w:rPr>
        <w:t>scop</w:t>
      </w:r>
      <w:r>
        <w:rPr>
          <w:spacing w:val="-6"/>
          <w:w w:val="115"/>
          <w:sz w:val="20"/>
        </w:rPr>
        <w:t> </w:t>
      </w:r>
      <w:r>
        <w:rPr>
          <w:w w:val="115"/>
          <w:sz w:val="20"/>
        </w:rPr>
        <w:t>nerezidenţial,</w:t>
      </w:r>
      <w:r>
        <w:rPr>
          <w:spacing w:val="-7"/>
          <w:w w:val="115"/>
          <w:sz w:val="20"/>
        </w:rPr>
        <w:t> </w:t>
      </w:r>
      <w:r>
        <w:rPr>
          <w:w w:val="115"/>
          <w:sz w:val="20"/>
        </w:rPr>
        <w:t>conform</w:t>
      </w:r>
      <w:r>
        <w:rPr>
          <w:spacing w:val="-6"/>
          <w:w w:val="115"/>
          <w:sz w:val="20"/>
        </w:rPr>
        <w:t> </w:t>
      </w:r>
      <w:r>
        <w:rPr>
          <w:w w:val="115"/>
          <w:sz w:val="20"/>
        </w:rPr>
        <w:t>alin.</w:t>
      </w:r>
      <w:r>
        <w:rPr>
          <w:spacing w:val="-6"/>
          <w:w w:val="115"/>
          <w:sz w:val="20"/>
        </w:rPr>
        <w:t> </w:t>
      </w:r>
      <w:r>
        <w:rPr>
          <w:w w:val="115"/>
          <w:sz w:val="20"/>
        </w:rPr>
        <w:t>(2)</w:t>
      </w:r>
      <w:r>
        <w:rPr>
          <w:spacing w:val="-7"/>
          <w:w w:val="115"/>
          <w:sz w:val="20"/>
        </w:rPr>
        <w:t> </w:t>
      </w:r>
      <w:r>
        <w:rPr>
          <w:w w:val="115"/>
          <w:sz w:val="20"/>
        </w:rPr>
        <w:t>sau</w:t>
      </w:r>
      <w:r>
        <w:rPr>
          <w:spacing w:val="-6"/>
          <w:w w:val="115"/>
          <w:sz w:val="20"/>
        </w:rPr>
        <w:t> </w:t>
      </w:r>
      <w:r>
        <w:rPr>
          <w:w w:val="115"/>
          <w:sz w:val="20"/>
        </w:rPr>
        <w:t>(3).</w:t>
      </w:r>
    </w:p>
    <w:p>
      <w:pPr>
        <w:pStyle w:val="ListParagraph"/>
        <w:numPr>
          <w:ilvl w:val="2"/>
          <w:numId w:val="3"/>
        </w:numPr>
        <w:tabs>
          <w:tab w:pos="789" w:val="left" w:leader="none"/>
        </w:tabs>
        <w:spacing w:line="271" w:lineRule="auto" w:before="109" w:after="0"/>
        <w:ind w:left="108" w:right="108" w:firstLine="456"/>
        <w:jc w:val="both"/>
        <w:rPr>
          <w:sz w:val="20"/>
        </w:rPr>
      </w:pPr>
      <w:r>
        <w:rPr>
          <w:w w:val="110"/>
          <w:sz w:val="20"/>
        </w:rPr>
        <w:t>Pentru stabilirea impozitului/taxei pe clădiri, valoarea impozabilă a clădirilor aflate în proprietatea persoanelor juridice este valoarea de la 31 decembrie a anului anterior celui pentru care se datorează impozitul/taxa și poate fi</w:t>
      </w:r>
      <w:r>
        <w:rPr>
          <w:spacing w:val="7"/>
          <w:w w:val="110"/>
          <w:sz w:val="20"/>
        </w:rPr>
        <w:t> </w:t>
      </w:r>
      <w:r>
        <w:rPr>
          <w:w w:val="110"/>
          <w:sz w:val="20"/>
        </w:rPr>
        <w:t>:</w:t>
      </w:r>
    </w:p>
    <w:p>
      <w:pPr>
        <w:pStyle w:val="ListParagraph"/>
        <w:numPr>
          <w:ilvl w:val="0"/>
          <w:numId w:val="6"/>
        </w:numPr>
        <w:tabs>
          <w:tab w:pos="330" w:val="left" w:leader="none"/>
        </w:tabs>
        <w:spacing w:line="240" w:lineRule="auto" w:before="109" w:after="0"/>
        <w:ind w:left="329" w:right="0" w:hanging="221"/>
        <w:jc w:val="both"/>
        <w:rPr>
          <w:sz w:val="20"/>
        </w:rPr>
      </w:pPr>
      <w:r>
        <w:rPr>
          <w:w w:val="115"/>
          <w:sz w:val="20"/>
        </w:rPr>
        <w:t>ultima valoare impozabilă înregistrată în evidenţele organului</w:t>
      </w:r>
      <w:r>
        <w:rPr>
          <w:spacing w:val="-14"/>
          <w:w w:val="115"/>
          <w:sz w:val="20"/>
        </w:rPr>
        <w:t> </w:t>
      </w:r>
      <w:r>
        <w:rPr>
          <w:w w:val="115"/>
          <w:sz w:val="20"/>
        </w:rPr>
        <w:t>fiscal;</w:t>
      </w:r>
    </w:p>
    <w:p>
      <w:pPr>
        <w:pStyle w:val="ListParagraph"/>
        <w:numPr>
          <w:ilvl w:val="0"/>
          <w:numId w:val="6"/>
        </w:numPr>
        <w:tabs>
          <w:tab w:pos="369" w:val="left" w:leader="none"/>
        </w:tabs>
        <w:spacing w:line="271" w:lineRule="auto" w:before="32" w:after="0"/>
        <w:ind w:left="108" w:right="114" w:firstLine="0"/>
        <w:jc w:val="both"/>
        <w:rPr>
          <w:rFonts w:ascii="Arial" w:hAnsi="Arial"/>
          <w:sz w:val="20"/>
        </w:rPr>
      </w:pPr>
      <w:r>
        <w:rPr>
          <w:w w:val="115"/>
          <w:sz w:val="20"/>
        </w:rPr>
        <w:t>valoarea rezultată dintr-un raport de evaluare întocmit de un evaluator autorizat în conformitate cu standardele de evaluare a bunurilor aflate în vigoare la data</w:t>
      </w:r>
      <w:r>
        <w:rPr>
          <w:spacing w:val="-19"/>
          <w:w w:val="115"/>
          <w:sz w:val="20"/>
        </w:rPr>
        <w:t> </w:t>
      </w:r>
      <w:r>
        <w:rPr>
          <w:w w:val="115"/>
          <w:sz w:val="20"/>
        </w:rPr>
        <w:t>evaluării;</w:t>
      </w:r>
    </w:p>
    <w:p>
      <w:pPr>
        <w:pStyle w:val="ListParagraph"/>
        <w:numPr>
          <w:ilvl w:val="0"/>
          <w:numId w:val="6"/>
        </w:numPr>
        <w:tabs>
          <w:tab w:pos="382" w:val="left" w:leader="none"/>
        </w:tabs>
        <w:spacing w:line="240" w:lineRule="auto" w:before="1" w:after="0"/>
        <w:ind w:left="381" w:right="0" w:hanging="273"/>
        <w:jc w:val="both"/>
        <w:rPr>
          <w:rFonts w:ascii="Arial" w:hAnsi="Arial"/>
          <w:sz w:val="20"/>
        </w:rPr>
      </w:pPr>
      <w:r>
        <w:rPr>
          <w:w w:val="115"/>
          <w:sz w:val="20"/>
        </w:rPr>
        <w:t>valoarea</w:t>
      </w:r>
      <w:r>
        <w:rPr>
          <w:spacing w:val="45"/>
          <w:w w:val="115"/>
          <w:sz w:val="20"/>
        </w:rPr>
        <w:t> </w:t>
      </w:r>
      <w:r>
        <w:rPr>
          <w:w w:val="115"/>
          <w:sz w:val="20"/>
        </w:rPr>
        <w:t>finală</w:t>
      </w:r>
      <w:r>
        <w:rPr>
          <w:spacing w:val="46"/>
          <w:w w:val="115"/>
          <w:sz w:val="20"/>
        </w:rPr>
        <w:t> </w:t>
      </w:r>
      <w:r>
        <w:rPr>
          <w:w w:val="115"/>
          <w:sz w:val="20"/>
        </w:rPr>
        <w:t>a</w:t>
      </w:r>
      <w:r>
        <w:rPr>
          <w:spacing w:val="46"/>
          <w:w w:val="115"/>
          <w:sz w:val="20"/>
        </w:rPr>
        <w:t> </w:t>
      </w:r>
      <w:r>
        <w:rPr>
          <w:w w:val="115"/>
          <w:sz w:val="20"/>
        </w:rPr>
        <w:t>lucrărilor</w:t>
      </w:r>
      <w:r>
        <w:rPr>
          <w:spacing w:val="46"/>
          <w:w w:val="115"/>
          <w:sz w:val="20"/>
        </w:rPr>
        <w:t> </w:t>
      </w:r>
      <w:r>
        <w:rPr>
          <w:w w:val="115"/>
          <w:sz w:val="20"/>
        </w:rPr>
        <w:t>de</w:t>
      </w:r>
      <w:r>
        <w:rPr>
          <w:spacing w:val="46"/>
          <w:w w:val="115"/>
          <w:sz w:val="20"/>
        </w:rPr>
        <w:t> </w:t>
      </w:r>
      <w:r>
        <w:rPr>
          <w:w w:val="115"/>
          <w:sz w:val="20"/>
        </w:rPr>
        <w:t>construcţii,</w:t>
      </w:r>
      <w:r>
        <w:rPr>
          <w:spacing w:val="46"/>
          <w:w w:val="115"/>
          <w:sz w:val="20"/>
        </w:rPr>
        <w:t> </w:t>
      </w:r>
      <w:r>
        <w:rPr>
          <w:w w:val="115"/>
          <w:sz w:val="20"/>
        </w:rPr>
        <w:t>în</w:t>
      </w:r>
      <w:r>
        <w:rPr>
          <w:spacing w:val="46"/>
          <w:w w:val="115"/>
          <w:sz w:val="20"/>
        </w:rPr>
        <w:t> </w:t>
      </w:r>
      <w:r>
        <w:rPr>
          <w:w w:val="115"/>
          <w:sz w:val="20"/>
        </w:rPr>
        <w:t>cazul</w:t>
      </w:r>
      <w:r>
        <w:rPr>
          <w:spacing w:val="45"/>
          <w:w w:val="115"/>
          <w:sz w:val="20"/>
        </w:rPr>
        <w:t> </w:t>
      </w:r>
      <w:r>
        <w:rPr>
          <w:w w:val="115"/>
          <w:sz w:val="20"/>
        </w:rPr>
        <w:t>clădirilor</w:t>
      </w:r>
      <w:r>
        <w:rPr>
          <w:spacing w:val="46"/>
          <w:w w:val="115"/>
          <w:sz w:val="20"/>
        </w:rPr>
        <w:t> </w:t>
      </w:r>
      <w:r>
        <w:rPr>
          <w:w w:val="115"/>
          <w:sz w:val="20"/>
        </w:rPr>
        <w:t>noi,</w:t>
      </w:r>
      <w:r>
        <w:rPr>
          <w:spacing w:val="46"/>
          <w:w w:val="115"/>
          <w:sz w:val="20"/>
        </w:rPr>
        <w:t> </w:t>
      </w:r>
      <w:r>
        <w:rPr>
          <w:w w:val="115"/>
          <w:sz w:val="20"/>
        </w:rPr>
        <w:t>construite</w:t>
      </w:r>
      <w:r>
        <w:rPr>
          <w:spacing w:val="46"/>
          <w:w w:val="115"/>
          <w:sz w:val="20"/>
        </w:rPr>
        <w:t> </w:t>
      </w:r>
      <w:r>
        <w:rPr>
          <w:w w:val="115"/>
          <w:sz w:val="20"/>
        </w:rPr>
        <w:t>în</w:t>
      </w:r>
      <w:r>
        <w:rPr>
          <w:spacing w:val="46"/>
          <w:w w:val="115"/>
          <w:sz w:val="20"/>
        </w:rPr>
        <w:t> </w:t>
      </w:r>
      <w:r>
        <w:rPr>
          <w:w w:val="115"/>
          <w:sz w:val="20"/>
        </w:rPr>
        <w:t>cursul</w:t>
      </w:r>
      <w:r>
        <w:rPr>
          <w:spacing w:val="46"/>
          <w:w w:val="115"/>
          <w:sz w:val="20"/>
        </w:rPr>
        <w:t> </w:t>
      </w:r>
      <w:r>
        <w:rPr>
          <w:w w:val="115"/>
          <w:sz w:val="20"/>
        </w:rPr>
        <w:t>anului</w:t>
      </w:r>
      <w:r>
        <w:rPr>
          <w:spacing w:val="45"/>
          <w:w w:val="115"/>
          <w:sz w:val="20"/>
        </w:rPr>
        <w:t> </w:t>
      </w:r>
      <w:r>
        <w:rPr>
          <w:w w:val="115"/>
          <w:sz w:val="20"/>
        </w:rPr>
        <w:t>fiscal</w:t>
      </w:r>
    </w:p>
    <w:p>
      <w:pPr>
        <w:spacing w:after="0" w:line="240" w:lineRule="auto"/>
        <w:jc w:val="both"/>
        <w:rPr>
          <w:rFonts w:ascii="Arial" w:hAnsi="Arial"/>
          <w:sz w:val="20"/>
        </w:rPr>
        <w:sectPr>
          <w:pgSz w:w="11900" w:h="16840"/>
          <w:pgMar w:header="0" w:footer="341" w:top="500" w:bottom="560" w:left="1140" w:right="740"/>
        </w:sectPr>
      </w:pPr>
    </w:p>
    <w:p>
      <w:pPr>
        <w:pStyle w:val="BodyText"/>
        <w:spacing w:before="100"/>
        <w:ind w:left="107"/>
        <w:jc w:val="left"/>
      </w:pPr>
      <w:r>
        <w:rPr>
          <w:w w:val="110"/>
        </w:rPr>
        <w:t>anterior;</w:t>
      </w:r>
    </w:p>
    <w:p>
      <w:pPr>
        <w:pStyle w:val="ListParagraph"/>
        <w:numPr>
          <w:ilvl w:val="0"/>
          <w:numId w:val="6"/>
        </w:numPr>
        <w:tabs>
          <w:tab w:pos="391" w:val="left" w:leader="none"/>
        </w:tabs>
        <w:spacing w:line="271" w:lineRule="auto" w:before="140" w:after="0"/>
        <w:ind w:left="108" w:right="110" w:firstLine="46"/>
        <w:jc w:val="both"/>
        <w:rPr>
          <w:rFonts w:ascii="Arial" w:hAnsi="Arial"/>
          <w:sz w:val="20"/>
        </w:rPr>
      </w:pPr>
      <w:r>
        <w:rPr>
          <w:w w:val="115"/>
          <w:sz w:val="20"/>
        </w:rPr>
        <w:t>valoarea</w:t>
      </w:r>
      <w:r>
        <w:rPr>
          <w:spacing w:val="-7"/>
          <w:w w:val="115"/>
          <w:sz w:val="20"/>
        </w:rPr>
        <w:t> </w:t>
      </w:r>
      <w:r>
        <w:rPr>
          <w:w w:val="115"/>
          <w:sz w:val="20"/>
        </w:rPr>
        <w:t>clădirilor</w:t>
      </w:r>
      <w:r>
        <w:rPr>
          <w:spacing w:val="-7"/>
          <w:w w:val="115"/>
          <w:sz w:val="20"/>
        </w:rPr>
        <w:t> </w:t>
      </w:r>
      <w:r>
        <w:rPr>
          <w:w w:val="115"/>
          <w:sz w:val="20"/>
        </w:rPr>
        <w:t>care</w:t>
      </w:r>
      <w:r>
        <w:rPr>
          <w:spacing w:val="-7"/>
          <w:w w:val="115"/>
          <w:sz w:val="20"/>
        </w:rPr>
        <w:t> </w:t>
      </w:r>
      <w:r>
        <w:rPr>
          <w:w w:val="115"/>
          <w:sz w:val="20"/>
        </w:rPr>
        <w:t>rezultă</w:t>
      </w:r>
      <w:r>
        <w:rPr>
          <w:spacing w:val="-7"/>
          <w:w w:val="115"/>
          <w:sz w:val="20"/>
        </w:rPr>
        <w:t> </w:t>
      </w:r>
      <w:r>
        <w:rPr>
          <w:w w:val="115"/>
          <w:sz w:val="20"/>
        </w:rPr>
        <w:t>din</w:t>
      </w:r>
      <w:r>
        <w:rPr>
          <w:spacing w:val="-7"/>
          <w:w w:val="115"/>
          <w:sz w:val="20"/>
        </w:rPr>
        <w:t> </w:t>
      </w:r>
      <w:r>
        <w:rPr>
          <w:w w:val="115"/>
          <w:sz w:val="20"/>
        </w:rPr>
        <w:t>actul</w:t>
      </w:r>
      <w:r>
        <w:rPr>
          <w:spacing w:val="-7"/>
          <w:w w:val="115"/>
          <w:sz w:val="20"/>
        </w:rPr>
        <w:t> </w:t>
      </w:r>
      <w:r>
        <w:rPr>
          <w:w w:val="115"/>
          <w:sz w:val="20"/>
        </w:rPr>
        <w:t>prin</w:t>
      </w:r>
      <w:r>
        <w:rPr>
          <w:spacing w:val="-7"/>
          <w:w w:val="115"/>
          <w:sz w:val="20"/>
        </w:rPr>
        <w:t> </w:t>
      </w:r>
      <w:r>
        <w:rPr>
          <w:w w:val="115"/>
          <w:sz w:val="20"/>
        </w:rPr>
        <w:t>care</w:t>
      </w:r>
      <w:r>
        <w:rPr>
          <w:spacing w:val="-7"/>
          <w:w w:val="115"/>
          <w:sz w:val="20"/>
        </w:rPr>
        <w:t> </w:t>
      </w:r>
      <w:r>
        <w:rPr>
          <w:w w:val="115"/>
          <w:sz w:val="20"/>
        </w:rPr>
        <w:t>se</w:t>
      </w:r>
      <w:r>
        <w:rPr>
          <w:spacing w:val="-7"/>
          <w:w w:val="115"/>
          <w:sz w:val="20"/>
        </w:rPr>
        <w:t> </w:t>
      </w:r>
      <w:r>
        <w:rPr>
          <w:w w:val="115"/>
          <w:sz w:val="20"/>
        </w:rPr>
        <w:t>transferă</w:t>
      </w:r>
      <w:r>
        <w:rPr>
          <w:spacing w:val="-7"/>
          <w:w w:val="115"/>
          <w:sz w:val="20"/>
        </w:rPr>
        <w:t> </w:t>
      </w:r>
      <w:r>
        <w:rPr>
          <w:w w:val="115"/>
          <w:sz w:val="20"/>
        </w:rPr>
        <w:t>dreptul</w:t>
      </w:r>
      <w:r>
        <w:rPr>
          <w:spacing w:val="-7"/>
          <w:w w:val="115"/>
          <w:sz w:val="20"/>
        </w:rPr>
        <w:t> </w:t>
      </w:r>
      <w:r>
        <w:rPr>
          <w:w w:val="115"/>
          <w:sz w:val="20"/>
        </w:rPr>
        <w:t>de</w:t>
      </w:r>
      <w:r>
        <w:rPr>
          <w:spacing w:val="-7"/>
          <w:w w:val="115"/>
          <w:sz w:val="20"/>
        </w:rPr>
        <w:t> </w:t>
      </w:r>
      <w:r>
        <w:rPr>
          <w:w w:val="115"/>
          <w:sz w:val="20"/>
        </w:rPr>
        <w:t>proprietate.</w:t>
      </w:r>
      <w:r>
        <w:rPr>
          <w:spacing w:val="-7"/>
          <w:w w:val="115"/>
          <w:sz w:val="20"/>
        </w:rPr>
        <w:t> </w:t>
      </w:r>
      <w:r>
        <w:rPr>
          <w:w w:val="115"/>
          <w:sz w:val="20"/>
        </w:rPr>
        <w:t>În</w:t>
      </w:r>
      <w:r>
        <w:rPr>
          <w:spacing w:val="-7"/>
          <w:w w:val="115"/>
          <w:sz w:val="20"/>
        </w:rPr>
        <w:t> </w:t>
      </w:r>
      <w:r>
        <w:rPr>
          <w:w w:val="115"/>
          <w:sz w:val="20"/>
        </w:rPr>
        <w:t>situaţia</w:t>
      </w:r>
      <w:r>
        <w:rPr>
          <w:spacing w:val="-7"/>
          <w:w w:val="115"/>
          <w:sz w:val="20"/>
        </w:rPr>
        <w:t> </w:t>
      </w:r>
      <w:r>
        <w:rPr>
          <w:w w:val="115"/>
          <w:sz w:val="20"/>
        </w:rPr>
        <w:t>în</w:t>
      </w:r>
      <w:r>
        <w:rPr>
          <w:spacing w:val="-7"/>
          <w:w w:val="115"/>
          <w:sz w:val="20"/>
        </w:rPr>
        <w:t> </w:t>
      </w:r>
      <w:r>
        <w:rPr>
          <w:w w:val="115"/>
          <w:sz w:val="20"/>
        </w:rPr>
        <w:t>care nu este precizată valoarea în documentele care atestă proprietatea, se utilizează ultima valoare înregistrată în baza de date a organului</w:t>
      </w:r>
      <w:r>
        <w:rPr>
          <w:spacing w:val="-8"/>
          <w:w w:val="115"/>
          <w:sz w:val="20"/>
        </w:rPr>
        <w:t> </w:t>
      </w:r>
      <w:r>
        <w:rPr>
          <w:w w:val="115"/>
          <w:sz w:val="20"/>
        </w:rPr>
        <w:t>fiscal;</w:t>
      </w:r>
    </w:p>
    <w:p>
      <w:pPr>
        <w:pStyle w:val="ListParagraph"/>
        <w:numPr>
          <w:ilvl w:val="0"/>
          <w:numId w:val="6"/>
        </w:numPr>
        <w:tabs>
          <w:tab w:pos="382" w:val="left" w:leader="none"/>
        </w:tabs>
        <w:spacing w:line="271" w:lineRule="auto" w:before="1" w:after="0"/>
        <w:ind w:left="108" w:right="112" w:firstLine="0"/>
        <w:jc w:val="both"/>
        <w:rPr>
          <w:rFonts w:ascii="Arial" w:hAnsi="Arial"/>
          <w:sz w:val="20"/>
        </w:rPr>
      </w:pPr>
      <w:r>
        <w:rPr>
          <w:w w:val="115"/>
          <w:sz w:val="20"/>
        </w:rPr>
        <w:t>în cazul clădirilor care sunt finanţate în baza unui contract de leasing financiar, valoarea rezultată dintr-un raport de evaluare întocmit de un evaluator autorizat în conformitate cu standardele de evaluare a bunurilor aflate în vigoare la data</w:t>
      </w:r>
      <w:r>
        <w:rPr>
          <w:spacing w:val="-12"/>
          <w:w w:val="115"/>
          <w:sz w:val="20"/>
        </w:rPr>
        <w:t> </w:t>
      </w:r>
      <w:r>
        <w:rPr>
          <w:w w:val="115"/>
          <w:sz w:val="20"/>
        </w:rPr>
        <w:t>evaluării;</w:t>
      </w:r>
    </w:p>
    <w:p>
      <w:pPr>
        <w:pStyle w:val="ListParagraph"/>
        <w:numPr>
          <w:ilvl w:val="0"/>
          <w:numId w:val="6"/>
        </w:numPr>
        <w:tabs>
          <w:tab w:pos="378" w:val="left" w:leader="none"/>
        </w:tabs>
        <w:spacing w:line="271" w:lineRule="auto" w:before="2" w:after="0"/>
        <w:ind w:left="108" w:right="113" w:firstLine="0"/>
        <w:jc w:val="both"/>
        <w:rPr>
          <w:rFonts w:ascii="Arial" w:hAnsi="Arial"/>
          <w:sz w:val="20"/>
        </w:rPr>
      </w:pPr>
      <w:r>
        <w:rPr>
          <w:w w:val="115"/>
          <w:sz w:val="20"/>
        </w:rPr>
        <w:t>în cazul clădirilor pentru care se datorează taxa pe clădiri, valoarea înscrisă în contabilitatea proprietarului clădirii şi comunicată concesionarului, locatarului, titularului dreptului de administrare sau de folosinţă, după</w:t>
      </w:r>
      <w:r>
        <w:rPr>
          <w:spacing w:val="-3"/>
          <w:w w:val="115"/>
          <w:sz w:val="20"/>
        </w:rPr>
        <w:t> </w:t>
      </w:r>
      <w:r>
        <w:rPr>
          <w:w w:val="115"/>
          <w:sz w:val="20"/>
        </w:rPr>
        <w:t>caz.</w:t>
      </w:r>
    </w:p>
    <w:p>
      <w:pPr>
        <w:pStyle w:val="ListParagraph"/>
        <w:numPr>
          <w:ilvl w:val="2"/>
          <w:numId w:val="3"/>
        </w:numPr>
        <w:tabs>
          <w:tab w:pos="750" w:val="left" w:leader="none"/>
        </w:tabs>
        <w:spacing w:line="271" w:lineRule="auto" w:before="109" w:after="0"/>
        <w:ind w:left="108" w:right="109" w:firstLine="395"/>
        <w:jc w:val="both"/>
        <w:rPr>
          <w:sz w:val="20"/>
        </w:rPr>
      </w:pPr>
      <w:r>
        <w:rPr>
          <w:w w:val="115"/>
          <w:sz w:val="20"/>
        </w:rPr>
        <w:t>Valoarea impozabilă a clădirii se actualizează o dată la 5 ani pe baza unui raport de evaluare a clădirii</w:t>
      </w:r>
      <w:r>
        <w:rPr>
          <w:spacing w:val="-7"/>
          <w:w w:val="115"/>
          <w:sz w:val="20"/>
        </w:rPr>
        <w:t> </w:t>
      </w:r>
      <w:r>
        <w:rPr>
          <w:w w:val="115"/>
          <w:sz w:val="20"/>
        </w:rPr>
        <w:t>întocmit</w:t>
      </w:r>
      <w:r>
        <w:rPr>
          <w:spacing w:val="-7"/>
          <w:w w:val="115"/>
          <w:sz w:val="20"/>
        </w:rPr>
        <w:t> </w:t>
      </w:r>
      <w:r>
        <w:rPr>
          <w:w w:val="115"/>
          <w:sz w:val="20"/>
        </w:rPr>
        <w:t>de</w:t>
      </w:r>
      <w:r>
        <w:rPr>
          <w:spacing w:val="-7"/>
          <w:w w:val="115"/>
          <w:sz w:val="20"/>
        </w:rPr>
        <w:t> </w:t>
      </w:r>
      <w:r>
        <w:rPr>
          <w:w w:val="115"/>
          <w:sz w:val="20"/>
        </w:rPr>
        <w:t>un</w:t>
      </w:r>
      <w:r>
        <w:rPr>
          <w:spacing w:val="-7"/>
          <w:w w:val="115"/>
          <w:sz w:val="20"/>
        </w:rPr>
        <w:t> </w:t>
      </w:r>
      <w:r>
        <w:rPr>
          <w:w w:val="115"/>
          <w:sz w:val="20"/>
        </w:rPr>
        <w:t>evaluator</w:t>
      </w:r>
      <w:r>
        <w:rPr>
          <w:spacing w:val="-6"/>
          <w:w w:val="115"/>
          <w:sz w:val="20"/>
        </w:rPr>
        <w:t> </w:t>
      </w:r>
      <w:r>
        <w:rPr>
          <w:w w:val="115"/>
          <w:sz w:val="20"/>
        </w:rPr>
        <w:t>autorizat</w:t>
      </w:r>
      <w:r>
        <w:rPr>
          <w:spacing w:val="-7"/>
          <w:w w:val="115"/>
          <w:sz w:val="20"/>
        </w:rPr>
        <w:t> </w:t>
      </w:r>
      <w:r>
        <w:rPr>
          <w:w w:val="115"/>
          <w:sz w:val="20"/>
        </w:rPr>
        <w:t>în</w:t>
      </w:r>
      <w:r>
        <w:rPr>
          <w:spacing w:val="-7"/>
          <w:w w:val="115"/>
          <w:sz w:val="20"/>
        </w:rPr>
        <w:t> </w:t>
      </w:r>
      <w:r>
        <w:rPr>
          <w:w w:val="115"/>
          <w:sz w:val="20"/>
        </w:rPr>
        <w:t>conformitate</w:t>
      </w:r>
      <w:r>
        <w:rPr>
          <w:spacing w:val="-7"/>
          <w:w w:val="115"/>
          <w:sz w:val="20"/>
        </w:rPr>
        <w:t> </w:t>
      </w:r>
      <w:r>
        <w:rPr>
          <w:w w:val="115"/>
          <w:sz w:val="20"/>
        </w:rPr>
        <w:t>cu</w:t>
      </w:r>
      <w:r>
        <w:rPr>
          <w:spacing w:val="-7"/>
          <w:w w:val="115"/>
          <w:sz w:val="20"/>
        </w:rPr>
        <w:t> </w:t>
      </w:r>
      <w:r>
        <w:rPr>
          <w:w w:val="115"/>
          <w:sz w:val="20"/>
        </w:rPr>
        <w:t>standardele</w:t>
      </w:r>
      <w:r>
        <w:rPr>
          <w:spacing w:val="-6"/>
          <w:w w:val="115"/>
          <w:sz w:val="20"/>
        </w:rPr>
        <w:t> </w:t>
      </w:r>
      <w:r>
        <w:rPr>
          <w:w w:val="115"/>
          <w:sz w:val="20"/>
        </w:rPr>
        <w:t>de</w:t>
      </w:r>
      <w:r>
        <w:rPr>
          <w:spacing w:val="-7"/>
          <w:w w:val="115"/>
          <w:sz w:val="20"/>
        </w:rPr>
        <w:t> </w:t>
      </w:r>
      <w:r>
        <w:rPr>
          <w:w w:val="115"/>
          <w:sz w:val="20"/>
        </w:rPr>
        <w:t>evaluare</w:t>
      </w:r>
      <w:r>
        <w:rPr>
          <w:spacing w:val="-7"/>
          <w:w w:val="115"/>
          <w:sz w:val="20"/>
        </w:rPr>
        <w:t> </w:t>
      </w:r>
      <w:r>
        <w:rPr>
          <w:w w:val="115"/>
          <w:sz w:val="20"/>
        </w:rPr>
        <w:t>a</w:t>
      </w:r>
      <w:r>
        <w:rPr>
          <w:spacing w:val="-7"/>
          <w:w w:val="115"/>
          <w:sz w:val="20"/>
        </w:rPr>
        <w:t> </w:t>
      </w:r>
      <w:r>
        <w:rPr>
          <w:w w:val="115"/>
          <w:sz w:val="20"/>
        </w:rPr>
        <w:t>bunurilor</w:t>
      </w:r>
      <w:r>
        <w:rPr>
          <w:spacing w:val="-6"/>
          <w:w w:val="115"/>
          <w:sz w:val="20"/>
        </w:rPr>
        <w:t> </w:t>
      </w:r>
      <w:r>
        <w:rPr>
          <w:w w:val="115"/>
          <w:sz w:val="20"/>
        </w:rPr>
        <w:t>aflate</w:t>
      </w:r>
      <w:r>
        <w:rPr>
          <w:spacing w:val="-7"/>
          <w:w w:val="115"/>
          <w:sz w:val="20"/>
        </w:rPr>
        <w:t> </w:t>
      </w:r>
      <w:r>
        <w:rPr>
          <w:w w:val="115"/>
          <w:sz w:val="20"/>
        </w:rPr>
        <w:t>în vigoare</w:t>
      </w:r>
      <w:r>
        <w:rPr>
          <w:spacing w:val="-4"/>
          <w:w w:val="115"/>
          <w:sz w:val="20"/>
        </w:rPr>
        <w:t> </w:t>
      </w:r>
      <w:r>
        <w:rPr>
          <w:w w:val="115"/>
          <w:sz w:val="20"/>
        </w:rPr>
        <w:t>la</w:t>
      </w:r>
      <w:r>
        <w:rPr>
          <w:spacing w:val="-4"/>
          <w:w w:val="115"/>
          <w:sz w:val="20"/>
        </w:rPr>
        <w:t> </w:t>
      </w:r>
      <w:r>
        <w:rPr>
          <w:w w:val="115"/>
          <w:sz w:val="20"/>
        </w:rPr>
        <w:t>data</w:t>
      </w:r>
      <w:r>
        <w:rPr>
          <w:spacing w:val="-4"/>
          <w:w w:val="115"/>
          <w:sz w:val="20"/>
        </w:rPr>
        <w:t> </w:t>
      </w:r>
      <w:r>
        <w:rPr>
          <w:w w:val="115"/>
          <w:sz w:val="20"/>
        </w:rPr>
        <w:t>evaluării</w:t>
      </w:r>
      <w:r>
        <w:rPr>
          <w:spacing w:val="-2"/>
          <w:w w:val="115"/>
          <w:sz w:val="20"/>
        </w:rPr>
        <w:t> </w:t>
      </w:r>
      <w:r>
        <w:rPr>
          <w:w w:val="115"/>
          <w:sz w:val="20"/>
        </w:rPr>
        <w:t>depus</w:t>
      </w:r>
      <w:r>
        <w:rPr>
          <w:spacing w:val="-4"/>
          <w:w w:val="115"/>
          <w:sz w:val="20"/>
        </w:rPr>
        <w:t> </w:t>
      </w:r>
      <w:r>
        <w:rPr>
          <w:w w:val="115"/>
          <w:sz w:val="20"/>
        </w:rPr>
        <w:t>la</w:t>
      </w:r>
      <w:r>
        <w:rPr>
          <w:spacing w:val="-4"/>
          <w:w w:val="115"/>
          <w:sz w:val="20"/>
        </w:rPr>
        <w:t> </w:t>
      </w:r>
      <w:r>
        <w:rPr>
          <w:w w:val="115"/>
          <w:sz w:val="20"/>
        </w:rPr>
        <w:t>organul</w:t>
      </w:r>
      <w:r>
        <w:rPr>
          <w:spacing w:val="-3"/>
          <w:w w:val="115"/>
          <w:sz w:val="20"/>
        </w:rPr>
        <w:t> </w:t>
      </w:r>
      <w:r>
        <w:rPr>
          <w:w w:val="115"/>
          <w:sz w:val="20"/>
        </w:rPr>
        <w:t>fiscal</w:t>
      </w:r>
      <w:r>
        <w:rPr>
          <w:spacing w:val="-2"/>
          <w:w w:val="115"/>
          <w:sz w:val="20"/>
        </w:rPr>
        <w:t> </w:t>
      </w:r>
      <w:r>
        <w:rPr>
          <w:w w:val="115"/>
          <w:sz w:val="20"/>
        </w:rPr>
        <w:t>local</w:t>
      </w:r>
      <w:r>
        <w:rPr>
          <w:spacing w:val="-3"/>
          <w:w w:val="115"/>
          <w:sz w:val="20"/>
        </w:rPr>
        <w:t> </w:t>
      </w:r>
      <w:r>
        <w:rPr>
          <w:w w:val="115"/>
          <w:sz w:val="20"/>
        </w:rPr>
        <w:t>până</w:t>
      </w:r>
      <w:r>
        <w:rPr>
          <w:spacing w:val="-3"/>
          <w:w w:val="115"/>
          <w:sz w:val="20"/>
        </w:rPr>
        <w:t> </w:t>
      </w:r>
      <w:r>
        <w:rPr>
          <w:w w:val="115"/>
          <w:sz w:val="20"/>
        </w:rPr>
        <w:t>la</w:t>
      </w:r>
      <w:r>
        <w:rPr>
          <w:spacing w:val="-3"/>
          <w:w w:val="115"/>
          <w:sz w:val="20"/>
        </w:rPr>
        <w:t> </w:t>
      </w:r>
      <w:r>
        <w:rPr>
          <w:w w:val="115"/>
          <w:sz w:val="20"/>
        </w:rPr>
        <w:t>primul</w:t>
      </w:r>
      <w:r>
        <w:rPr>
          <w:spacing w:val="-2"/>
          <w:w w:val="115"/>
          <w:sz w:val="20"/>
        </w:rPr>
        <w:t> </w:t>
      </w:r>
      <w:r>
        <w:rPr>
          <w:w w:val="115"/>
          <w:sz w:val="20"/>
        </w:rPr>
        <w:t>termen</w:t>
      </w:r>
      <w:r>
        <w:rPr>
          <w:spacing w:val="-3"/>
          <w:w w:val="115"/>
          <w:sz w:val="20"/>
        </w:rPr>
        <w:t> </w:t>
      </w:r>
      <w:r>
        <w:rPr>
          <w:w w:val="115"/>
          <w:sz w:val="20"/>
        </w:rPr>
        <w:t>de</w:t>
      </w:r>
      <w:r>
        <w:rPr>
          <w:spacing w:val="-3"/>
          <w:w w:val="115"/>
          <w:sz w:val="20"/>
        </w:rPr>
        <w:t> </w:t>
      </w:r>
      <w:r>
        <w:rPr>
          <w:w w:val="115"/>
          <w:sz w:val="20"/>
        </w:rPr>
        <w:t>plată</w:t>
      </w:r>
      <w:r>
        <w:rPr>
          <w:spacing w:val="-3"/>
          <w:w w:val="115"/>
          <w:sz w:val="20"/>
        </w:rPr>
        <w:t> </w:t>
      </w:r>
      <w:r>
        <w:rPr>
          <w:w w:val="115"/>
          <w:sz w:val="20"/>
        </w:rPr>
        <w:t>din</w:t>
      </w:r>
      <w:r>
        <w:rPr>
          <w:spacing w:val="-3"/>
          <w:w w:val="115"/>
          <w:sz w:val="20"/>
        </w:rPr>
        <w:t> </w:t>
      </w:r>
      <w:r>
        <w:rPr>
          <w:w w:val="115"/>
          <w:sz w:val="20"/>
        </w:rPr>
        <w:t>anul</w:t>
      </w:r>
      <w:r>
        <w:rPr>
          <w:spacing w:val="-2"/>
          <w:w w:val="115"/>
          <w:sz w:val="20"/>
        </w:rPr>
        <w:t> </w:t>
      </w:r>
      <w:r>
        <w:rPr>
          <w:w w:val="115"/>
          <w:sz w:val="20"/>
        </w:rPr>
        <w:t>de</w:t>
      </w:r>
      <w:r>
        <w:rPr>
          <w:spacing w:val="-3"/>
          <w:w w:val="115"/>
          <w:sz w:val="20"/>
        </w:rPr>
        <w:t> </w:t>
      </w:r>
      <w:r>
        <w:rPr>
          <w:w w:val="115"/>
          <w:sz w:val="20"/>
        </w:rPr>
        <w:t>referinţă. În situaţia depunerii raportului de evaluare după primul termen de plată din anul de referinţă acesta produce efecte începând cu data de 1 ianuarie a anului fiscal</w:t>
      </w:r>
      <w:r>
        <w:rPr>
          <w:spacing w:val="-19"/>
          <w:w w:val="115"/>
          <w:sz w:val="20"/>
        </w:rPr>
        <w:t> </w:t>
      </w:r>
      <w:r>
        <w:rPr>
          <w:w w:val="115"/>
          <w:sz w:val="20"/>
        </w:rPr>
        <w:t>următor.</w:t>
      </w:r>
    </w:p>
    <w:p>
      <w:pPr>
        <w:pStyle w:val="ListParagraph"/>
        <w:numPr>
          <w:ilvl w:val="2"/>
          <w:numId w:val="3"/>
        </w:numPr>
        <w:tabs>
          <w:tab w:pos="644" w:val="left" w:leader="none"/>
        </w:tabs>
        <w:spacing w:line="271" w:lineRule="auto" w:before="110" w:after="0"/>
        <w:ind w:left="108" w:right="117" w:firstLine="277"/>
        <w:jc w:val="both"/>
        <w:rPr>
          <w:sz w:val="20"/>
        </w:rPr>
      </w:pPr>
      <w:r>
        <w:rPr>
          <w:w w:val="110"/>
          <w:sz w:val="20"/>
        </w:rPr>
        <w:t>Prevederile alin. (6) nu se aplică în cazul clădirilor care aparţin persoanelor faţă de care a fost pronunţată o hotărâre definitivă de declanşare a procedurii</w:t>
      </w:r>
      <w:r>
        <w:rPr>
          <w:spacing w:val="34"/>
          <w:w w:val="110"/>
          <w:sz w:val="20"/>
        </w:rPr>
        <w:t> </w:t>
      </w:r>
      <w:r>
        <w:rPr>
          <w:w w:val="110"/>
          <w:sz w:val="20"/>
        </w:rPr>
        <w:t>falimentului.</w:t>
      </w:r>
    </w:p>
    <w:p>
      <w:pPr>
        <w:pStyle w:val="ListParagraph"/>
        <w:numPr>
          <w:ilvl w:val="2"/>
          <w:numId w:val="3"/>
        </w:numPr>
        <w:tabs>
          <w:tab w:pos="673" w:val="left" w:leader="none"/>
        </w:tabs>
        <w:spacing w:line="271" w:lineRule="auto" w:before="108" w:after="0"/>
        <w:ind w:left="108" w:right="112" w:firstLine="397"/>
        <w:jc w:val="both"/>
        <w:rPr>
          <w:sz w:val="20"/>
        </w:rPr>
      </w:pPr>
      <w:r>
        <w:rPr>
          <w:w w:val="110"/>
          <w:sz w:val="20"/>
        </w:rPr>
        <w:t>Prevederile alin. (6) nu se aplică în cazul clădirilor care sunt scutite de plata  impozitului/taxei  pe  clădiri</w:t>
      </w:r>
      <w:r>
        <w:rPr>
          <w:spacing w:val="1"/>
          <w:w w:val="110"/>
          <w:sz w:val="20"/>
        </w:rPr>
        <w:t> </w:t>
      </w:r>
      <w:r>
        <w:rPr>
          <w:w w:val="110"/>
          <w:sz w:val="20"/>
        </w:rPr>
        <w:t>.</w:t>
      </w:r>
    </w:p>
    <w:p>
      <w:pPr>
        <w:pStyle w:val="ListParagraph"/>
        <w:numPr>
          <w:ilvl w:val="2"/>
          <w:numId w:val="3"/>
        </w:numPr>
        <w:tabs>
          <w:tab w:pos="691" w:val="left" w:leader="none"/>
        </w:tabs>
        <w:spacing w:line="271" w:lineRule="auto" w:before="109" w:after="0"/>
        <w:ind w:left="108" w:right="108" w:firstLine="332"/>
        <w:jc w:val="both"/>
        <w:rPr>
          <w:sz w:val="20"/>
        </w:rPr>
      </w:pPr>
      <w:r>
        <w:rPr>
          <w:w w:val="115"/>
          <w:sz w:val="20"/>
        </w:rPr>
        <w:t>În cazul în care proprietarul clădirii nu a actualizat valoarea impozabilă a clădirii în ultimii 5 ani anteriori anului de referinţă, cota impozitului/taxei pe clădiri este</w:t>
      </w:r>
      <w:r>
        <w:rPr>
          <w:spacing w:val="-22"/>
          <w:w w:val="115"/>
          <w:sz w:val="20"/>
        </w:rPr>
        <w:t> </w:t>
      </w:r>
      <w:r>
        <w:rPr>
          <w:w w:val="115"/>
          <w:sz w:val="20"/>
        </w:rPr>
        <w:t>5%.</w:t>
      </w:r>
    </w:p>
    <w:p>
      <w:pPr>
        <w:pStyle w:val="ListParagraph"/>
        <w:numPr>
          <w:ilvl w:val="2"/>
          <w:numId w:val="3"/>
        </w:numPr>
        <w:tabs>
          <w:tab w:pos="662" w:val="left" w:leader="none"/>
        </w:tabs>
        <w:spacing w:line="271" w:lineRule="auto" w:before="108" w:after="0"/>
        <w:ind w:left="108" w:right="112" w:firstLine="218"/>
        <w:jc w:val="both"/>
        <w:rPr>
          <w:sz w:val="20"/>
        </w:rPr>
      </w:pPr>
      <w:r>
        <w:rPr>
          <w:w w:val="115"/>
          <w:sz w:val="20"/>
        </w:rPr>
        <w:t>În cazul în care proprietarul clădirii pentru care se datorează taxa pe clădiri nu a actualizat valoarea impozabilă în ultimii 5 ani anteriori anului de referinţă, diferenţa de taxă faţă de cea stabilită conform alin. (1) sau (2), după caz, va fi datorată de proprietarul</w:t>
      </w:r>
      <w:r>
        <w:rPr>
          <w:spacing w:val="-23"/>
          <w:w w:val="115"/>
          <w:sz w:val="20"/>
        </w:rPr>
        <w:t> </w:t>
      </w:r>
      <w:r>
        <w:rPr>
          <w:w w:val="115"/>
          <w:sz w:val="20"/>
        </w:rPr>
        <w:t>clădirii.</w:t>
      </w:r>
    </w:p>
    <w:p>
      <w:pPr>
        <w:pStyle w:val="ListParagraph"/>
        <w:numPr>
          <w:ilvl w:val="2"/>
          <w:numId w:val="3"/>
        </w:numPr>
        <w:tabs>
          <w:tab w:pos="549" w:val="left" w:leader="none"/>
        </w:tabs>
        <w:spacing w:line="271" w:lineRule="auto" w:before="109" w:after="0"/>
        <w:ind w:left="108" w:right="108" w:firstLine="107"/>
        <w:jc w:val="both"/>
        <w:rPr>
          <w:sz w:val="20"/>
        </w:rPr>
      </w:pPr>
      <w:r>
        <w:rPr>
          <w:w w:val="115"/>
          <w:sz w:val="20"/>
        </w:rPr>
        <w:t>Impozitul</w:t>
      </w:r>
      <w:r>
        <w:rPr>
          <w:spacing w:val="-6"/>
          <w:w w:val="115"/>
          <w:sz w:val="20"/>
        </w:rPr>
        <w:t> </w:t>
      </w:r>
      <w:r>
        <w:rPr>
          <w:w w:val="115"/>
          <w:sz w:val="20"/>
        </w:rPr>
        <w:t>pe</w:t>
      </w:r>
      <w:r>
        <w:rPr>
          <w:spacing w:val="-6"/>
          <w:w w:val="115"/>
          <w:sz w:val="20"/>
        </w:rPr>
        <w:t> </w:t>
      </w:r>
      <w:r>
        <w:rPr>
          <w:w w:val="115"/>
          <w:sz w:val="20"/>
        </w:rPr>
        <w:t>clădiri</w:t>
      </w:r>
      <w:r>
        <w:rPr>
          <w:spacing w:val="-6"/>
          <w:w w:val="115"/>
          <w:sz w:val="20"/>
        </w:rPr>
        <w:t> </w:t>
      </w:r>
      <w:r>
        <w:rPr>
          <w:w w:val="115"/>
          <w:sz w:val="20"/>
        </w:rPr>
        <w:t>este</w:t>
      </w:r>
      <w:r>
        <w:rPr>
          <w:spacing w:val="-6"/>
          <w:w w:val="115"/>
          <w:sz w:val="20"/>
        </w:rPr>
        <w:t> </w:t>
      </w:r>
      <w:r>
        <w:rPr>
          <w:w w:val="115"/>
          <w:sz w:val="20"/>
        </w:rPr>
        <w:t>datorat</w:t>
      </w:r>
      <w:r>
        <w:rPr>
          <w:spacing w:val="-6"/>
          <w:w w:val="115"/>
          <w:sz w:val="20"/>
        </w:rPr>
        <w:t> </w:t>
      </w:r>
      <w:r>
        <w:rPr>
          <w:w w:val="115"/>
          <w:sz w:val="20"/>
        </w:rPr>
        <w:t>pentru</w:t>
      </w:r>
      <w:r>
        <w:rPr>
          <w:spacing w:val="-6"/>
          <w:w w:val="115"/>
          <w:sz w:val="20"/>
        </w:rPr>
        <w:t> </w:t>
      </w:r>
      <w:r>
        <w:rPr>
          <w:w w:val="115"/>
          <w:sz w:val="20"/>
        </w:rPr>
        <w:t>întregul</w:t>
      </w:r>
      <w:r>
        <w:rPr>
          <w:spacing w:val="-6"/>
          <w:w w:val="115"/>
          <w:sz w:val="20"/>
        </w:rPr>
        <w:t> </w:t>
      </w:r>
      <w:r>
        <w:rPr>
          <w:w w:val="115"/>
          <w:sz w:val="20"/>
        </w:rPr>
        <w:t>an</w:t>
      </w:r>
      <w:r>
        <w:rPr>
          <w:spacing w:val="-6"/>
          <w:w w:val="115"/>
          <w:sz w:val="20"/>
        </w:rPr>
        <w:t> </w:t>
      </w:r>
      <w:r>
        <w:rPr>
          <w:w w:val="115"/>
          <w:sz w:val="20"/>
        </w:rPr>
        <w:t>fiscal</w:t>
      </w:r>
      <w:r>
        <w:rPr>
          <w:spacing w:val="-6"/>
          <w:w w:val="115"/>
          <w:sz w:val="20"/>
        </w:rPr>
        <w:t> </w:t>
      </w:r>
      <w:r>
        <w:rPr>
          <w:w w:val="115"/>
          <w:sz w:val="20"/>
        </w:rPr>
        <w:t>de</w:t>
      </w:r>
      <w:r>
        <w:rPr>
          <w:spacing w:val="-6"/>
          <w:w w:val="115"/>
          <w:sz w:val="20"/>
        </w:rPr>
        <w:t> </w:t>
      </w:r>
      <w:r>
        <w:rPr>
          <w:w w:val="115"/>
          <w:sz w:val="20"/>
        </w:rPr>
        <w:t>persoana</w:t>
      </w:r>
      <w:r>
        <w:rPr>
          <w:spacing w:val="-6"/>
          <w:w w:val="115"/>
          <w:sz w:val="20"/>
        </w:rPr>
        <w:t> </w:t>
      </w:r>
      <w:r>
        <w:rPr>
          <w:w w:val="115"/>
          <w:sz w:val="20"/>
        </w:rPr>
        <w:t>care</w:t>
      </w:r>
      <w:r>
        <w:rPr>
          <w:spacing w:val="-6"/>
          <w:w w:val="115"/>
          <w:sz w:val="20"/>
        </w:rPr>
        <w:t> </w:t>
      </w:r>
      <w:r>
        <w:rPr>
          <w:w w:val="115"/>
          <w:sz w:val="20"/>
        </w:rPr>
        <w:t>are</w:t>
      </w:r>
      <w:r>
        <w:rPr>
          <w:spacing w:val="-6"/>
          <w:w w:val="115"/>
          <w:sz w:val="20"/>
        </w:rPr>
        <w:t> </w:t>
      </w:r>
      <w:r>
        <w:rPr>
          <w:w w:val="115"/>
          <w:sz w:val="20"/>
        </w:rPr>
        <w:t>în</w:t>
      </w:r>
      <w:r>
        <w:rPr>
          <w:spacing w:val="-6"/>
          <w:w w:val="115"/>
          <w:sz w:val="20"/>
        </w:rPr>
        <w:t> </w:t>
      </w:r>
      <w:r>
        <w:rPr>
          <w:w w:val="115"/>
          <w:sz w:val="20"/>
        </w:rPr>
        <w:t>proprietate</w:t>
      </w:r>
      <w:r>
        <w:rPr>
          <w:spacing w:val="-6"/>
          <w:w w:val="115"/>
          <w:sz w:val="20"/>
        </w:rPr>
        <w:t> </w:t>
      </w:r>
      <w:r>
        <w:rPr>
          <w:w w:val="115"/>
          <w:sz w:val="20"/>
        </w:rPr>
        <w:t>clădirea la data de 31 decembrie a anului fiscal</w:t>
      </w:r>
      <w:r>
        <w:rPr>
          <w:spacing w:val="-10"/>
          <w:w w:val="115"/>
          <w:sz w:val="20"/>
        </w:rPr>
        <w:t> </w:t>
      </w:r>
      <w:r>
        <w:rPr>
          <w:w w:val="115"/>
          <w:sz w:val="20"/>
        </w:rPr>
        <w:t>anterior.</w:t>
      </w:r>
    </w:p>
    <w:p>
      <w:pPr>
        <w:pStyle w:val="ListParagraph"/>
        <w:numPr>
          <w:ilvl w:val="2"/>
          <w:numId w:val="3"/>
        </w:numPr>
        <w:tabs>
          <w:tab w:pos="684" w:val="left" w:leader="none"/>
        </w:tabs>
        <w:spacing w:line="271" w:lineRule="auto" w:before="109" w:after="0"/>
        <w:ind w:left="108" w:right="109" w:firstLine="236"/>
        <w:jc w:val="both"/>
        <w:rPr>
          <w:sz w:val="20"/>
        </w:rPr>
      </w:pPr>
      <w:r>
        <w:rPr>
          <w:w w:val="115"/>
          <w:sz w:val="20"/>
        </w:rPr>
        <w:t>În cazul dobândirii sau construirii unei clădiri în cursul anului, proprietarul acesteia are obligaţia să depună o declaraţie la organul fiscal local în a cărui rază teritorială de competenţă se află clădirea, în termen</w:t>
      </w:r>
      <w:r>
        <w:rPr>
          <w:spacing w:val="-4"/>
          <w:w w:val="115"/>
          <w:sz w:val="20"/>
        </w:rPr>
        <w:t> </w:t>
      </w:r>
      <w:r>
        <w:rPr>
          <w:w w:val="115"/>
          <w:sz w:val="20"/>
        </w:rPr>
        <w:t>de</w:t>
      </w:r>
      <w:r>
        <w:rPr>
          <w:spacing w:val="-2"/>
          <w:w w:val="115"/>
          <w:sz w:val="20"/>
        </w:rPr>
        <w:t> </w:t>
      </w:r>
      <w:r>
        <w:rPr>
          <w:w w:val="115"/>
          <w:sz w:val="20"/>
        </w:rPr>
        <w:t>30</w:t>
      </w:r>
      <w:r>
        <w:rPr>
          <w:spacing w:val="-4"/>
          <w:w w:val="115"/>
          <w:sz w:val="20"/>
        </w:rPr>
        <w:t> </w:t>
      </w:r>
      <w:r>
        <w:rPr>
          <w:w w:val="115"/>
          <w:sz w:val="20"/>
        </w:rPr>
        <w:t>de</w:t>
      </w:r>
      <w:r>
        <w:rPr>
          <w:spacing w:val="-2"/>
          <w:w w:val="115"/>
          <w:sz w:val="20"/>
        </w:rPr>
        <w:t> </w:t>
      </w:r>
      <w:r>
        <w:rPr>
          <w:w w:val="115"/>
          <w:sz w:val="20"/>
        </w:rPr>
        <w:t>zile</w:t>
      </w:r>
      <w:r>
        <w:rPr>
          <w:spacing w:val="-3"/>
          <w:w w:val="115"/>
          <w:sz w:val="20"/>
        </w:rPr>
        <w:t> </w:t>
      </w:r>
      <w:r>
        <w:rPr>
          <w:w w:val="115"/>
          <w:sz w:val="20"/>
        </w:rPr>
        <w:t>de</w:t>
      </w:r>
      <w:r>
        <w:rPr>
          <w:spacing w:val="-2"/>
          <w:w w:val="115"/>
          <w:sz w:val="20"/>
        </w:rPr>
        <w:t> </w:t>
      </w:r>
      <w:r>
        <w:rPr>
          <w:w w:val="115"/>
          <w:sz w:val="20"/>
        </w:rPr>
        <w:t>la</w:t>
      </w:r>
      <w:r>
        <w:rPr>
          <w:spacing w:val="-3"/>
          <w:w w:val="115"/>
          <w:sz w:val="20"/>
        </w:rPr>
        <w:t> </w:t>
      </w:r>
      <w:r>
        <w:rPr>
          <w:w w:val="115"/>
          <w:sz w:val="20"/>
        </w:rPr>
        <w:t>data</w:t>
      </w:r>
      <w:r>
        <w:rPr>
          <w:spacing w:val="-4"/>
          <w:w w:val="115"/>
          <w:sz w:val="20"/>
        </w:rPr>
        <w:t> </w:t>
      </w:r>
      <w:r>
        <w:rPr>
          <w:w w:val="115"/>
          <w:sz w:val="20"/>
        </w:rPr>
        <w:t>dobândirii</w:t>
      </w:r>
      <w:r>
        <w:rPr>
          <w:spacing w:val="-2"/>
          <w:w w:val="115"/>
          <w:sz w:val="20"/>
        </w:rPr>
        <w:t> </w:t>
      </w:r>
      <w:r>
        <w:rPr>
          <w:w w:val="115"/>
          <w:sz w:val="20"/>
        </w:rPr>
        <w:t>şi</w:t>
      </w:r>
      <w:r>
        <w:rPr>
          <w:spacing w:val="-3"/>
          <w:w w:val="115"/>
          <w:sz w:val="20"/>
        </w:rPr>
        <w:t> </w:t>
      </w:r>
      <w:r>
        <w:rPr>
          <w:w w:val="115"/>
          <w:sz w:val="20"/>
        </w:rPr>
        <w:t>datorează</w:t>
      </w:r>
      <w:r>
        <w:rPr>
          <w:spacing w:val="-3"/>
          <w:w w:val="115"/>
          <w:sz w:val="20"/>
        </w:rPr>
        <w:t> </w:t>
      </w:r>
      <w:r>
        <w:rPr>
          <w:w w:val="115"/>
          <w:sz w:val="20"/>
        </w:rPr>
        <w:t>impozit</w:t>
      </w:r>
      <w:r>
        <w:rPr>
          <w:spacing w:val="-4"/>
          <w:w w:val="115"/>
          <w:sz w:val="20"/>
        </w:rPr>
        <w:t> </w:t>
      </w:r>
      <w:r>
        <w:rPr>
          <w:w w:val="115"/>
          <w:sz w:val="20"/>
        </w:rPr>
        <w:t>pe</w:t>
      </w:r>
      <w:r>
        <w:rPr>
          <w:spacing w:val="-2"/>
          <w:w w:val="115"/>
          <w:sz w:val="20"/>
        </w:rPr>
        <w:t> </w:t>
      </w:r>
      <w:r>
        <w:rPr>
          <w:w w:val="115"/>
          <w:sz w:val="20"/>
        </w:rPr>
        <w:t>clădiri</w:t>
      </w:r>
      <w:r>
        <w:rPr>
          <w:spacing w:val="-2"/>
          <w:w w:val="115"/>
          <w:sz w:val="20"/>
        </w:rPr>
        <w:t> </w:t>
      </w:r>
      <w:r>
        <w:rPr>
          <w:w w:val="115"/>
          <w:sz w:val="20"/>
        </w:rPr>
        <w:t>începând</w:t>
      </w:r>
      <w:r>
        <w:rPr>
          <w:spacing w:val="-3"/>
          <w:w w:val="115"/>
          <w:sz w:val="20"/>
        </w:rPr>
        <w:t> </w:t>
      </w:r>
      <w:r>
        <w:rPr>
          <w:w w:val="115"/>
          <w:sz w:val="20"/>
        </w:rPr>
        <w:t>cu</w:t>
      </w:r>
      <w:r>
        <w:rPr>
          <w:spacing w:val="-2"/>
          <w:w w:val="115"/>
          <w:sz w:val="20"/>
        </w:rPr>
        <w:t> </w:t>
      </w:r>
      <w:r>
        <w:rPr>
          <w:w w:val="115"/>
          <w:sz w:val="20"/>
        </w:rPr>
        <w:t>data</w:t>
      </w:r>
      <w:r>
        <w:rPr>
          <w:spacing w:val="-3"/>
          <w:w w:val="115"/>
          <w:sz w:val="20"/>
        </w:rPr>
        <w:t> </w:t>
      </w:r>
      <w:r>
        <w:rPr>
          <w:w w:val="115"/>
          <w:sz w:val="20"/>
        </w:rPr>
        <w:t>de</w:t>
      </w:r>
      <w:r>
        <w:rPr>
          <w:spacing w:val="-2"/>
          <w:w w:val="115"/>
          <w:sz w:val="20"/>
        </w:rPr>
        <w:t> </w:t>
      </w:r>
      <w:r>
        <w:rPr>
          <w:w w:val="115"/>
          <w:sz w:val="20"/>
        </w:rPr>
        <w:t>1</w:t>
      </w:r>
      <w:r>
        <w:rPr>
          <w:spacing w:val="-3"/>
          <w:w w:val="115"/>
          <w:sz w:val="20"/>
        </w:rPr>
        <w:t> </w:t>
      </w:r>
      <w:r>
        <w:rPr>
          <w:w w:val="115"/>
          <w:sz w:val="20"/>
        </w:rPr>
        <w:t>ianuarie</w:t>
      </w:r>
      <w:r>
        <w:rPr>
          <w:spacing w:val="-2"/>
          <w:w w:val="115"/>
          <w:sz w:val="20"/>
        </w:rPr>
        <w:t> </w:t>
      </w:r>
      <w:r>
        <w:rPr>
          <w:w w:val="115"/>
          <w:sz w:val="20"/>
        </w:rPr>
        <w:t>a anului</w:t>
      </w:r>
      <w:r>
        <w:rPr>
          <w:spacing w:val="-1"/>
          <w:w w:val="115"/>
          <w:sz w:val="20"/>
        </w:rPr>
        <w:t> </w:t>
      </w:r>
      <w:r>
        <w:rPr>
          <w:w w:val="115"/>
          <w:sz w:val="20"/>
        </w:rPr>
        <w:t>următor.</w:t>
      </w:r>
    </w:p>
    <w:p>
      <w:pPr>
        <w:pStyle w:val="ListParagraph"/>
        <w:numPr>
          <w:ilvl w:val="2"/>
          <w:numId w:val="3"/>
        </w:numPr>
        <w:tabs>
          <w:tab w:pos="748" w:val="left" w:leader="none"/>
        </w:tabs>
        <w:spacing w:line="271" w:lineRule="auto" w:before="109" w:after="0"/>
        <w:ind w:left="108" w:right="113" w:firstLine="269"/>
        <w:jc w:val="both"/>
        <w:rPr>
          <w:sz w:val="20"/>
        </w:rPr>
      </w:pPr>
      <w:r>
        <w:rPr>
          <w:w w:val="115"/>
          <w:sz w:val="20"/>
        </w:rPr>
        <w:t>În cazul unei clădiri care face obiectul unui contract de leasing financiar, pe întreaga durată a acestuia se aplică următoarele</w:t>
      </w:r>
      <w:r>
        <w:rPr>
          <w:spacing w:val="-5"/>
          <w:w w:val="115"/>
          <w:sz w:val="20"/>
        </w:rPr>
        <w:t> </w:t>
      </w:r>
      <w:r>
        <w:rPr>
          <w:w w:val="115"/>
          <w:sz w:val="20"/>
        </w:rPr>
        <w:t>reguli:</w:t>
      </w:r>
    </w:p>
    <w:p>
      <w:pPr>
        <w:pStyle w:val="ListParagraph"/>
        <w:numPr>
          <w:ilvl w:val="0"/>
          <w:numId w:val="7"/>
        </w:numPr>
        <w:tabs>
          <w:tab w:pos="463" w:val="left" w:leader="none"/>
        </w:tabs>
        <w:spacing w:line="271" w:lineRule="auto" w:before="109" w:after="0"/>
        <w:ind w:left="108" w:right="114" w:firstLine="123"/>
        <w:jc w:val="both"/>
        <w:rPr>
          <w:sz w:val="20"/>
        </w:rPr>
      </w:pPr>
      <w:r>
        <w:rPr>
          <w:w w:val="115"/>
          <w:sz w:val="20"/>
        </w:rPr>
        <w:t>impozitul pe clădiri se datorează de locatar, începând cu data de 1 ianuarie a anului următor celui în care a fost încheiat</w:t>
      </w:r>
      <w:r>
        <w:rPr>
          <w:spacing w:val="-5"/>
          <w:w w:val="115"/>
          <w:sz w:val="20"/>
        </w:rPr>
        <w:t> </w:t>
      </w:r>
      <w:r>
        <w:rPr>
          <w:w w:val="115"/>
          <w:sz w:val="20"/>
        </w:rPr>
        <w:t>contractul;</w:t>
      </w:r>
    </w:p>
    <w:p>
      <w:pPr>
        <w:pStyle w:val="ListParagraph"/>
        <w:numPr>
          <w:ilvl w:val="0"/>
          <w:numId w:val="7"/>
        </w:numPr>
        <w:tabs>
          <w:tab w:pos="447" w:val="left" w:leader="none"/>
        </w:tabs>
        <w:spacing w:line="271" w:lineRule="auto" w:before="108" w:after="0"/>
        <w:ind w:left="108" w:right="107" w:firstLine="105"/>
        <w:jc w:val="both"/>
        <w:rPr>
          <w:sz w:val="20"/>
        </w:rPr>
      </w:pPr>
      <w:r>
        <w:rPr>
          <w:w w:val="115"/>
          <w:sz w:val="20"/>
        </w:rPr>
        <w:t>în</w:t>
      </w:r>
      <w:r>
        <w:rPr>
          <w:spacing w:val="-7"/>
          <w:w w:val="115"/>
          <w:sz w:val="20"/>
        </w:rPr>
        <w:t> </w:t>
      </w:r>
      <w:r>
        <w:rPr>
          <w:w w:val="115"/>
          <w:sz w:val="20"/>
        </w:rPr>
        <w:t>cazul</w:t>
      </w:r>
      <w:r>
        <w:rPr>
          <w:spacing w:val="-7"/>
          <w:w w:val="115"/>
          <w:sz w:val="20"/>
        </w:rPr>
        <w:t> </w:t>
      </w:r>
      <w:r>
        <w:rPr>
          <w:w w:val="115"/>
          <w:sz w:val="20"/>
        </w:rPr>
        <w:t>încetării</w:t>
      </w:r>
      <w:r>
        <w:rPr>
          <w:spacing w:val="-7"/>
          <w:w w:val="115"/>
          <w:sz w:val="20"/>
        </w:rPr>
        <w:t> </w:t>
      </w:r>
      <w:r>
        <w:rPr>
          <w:w w:val="115"/>
          <w:sz w:val="20"/>
        </w:rPr>
        <w:t>contractului</w:t>
      </w:r>
      <w:r>
        <w:rPr>
          <w:spacing w:val="-7"/>
          <w:w w:val="115"/>
          <w:sz w:val="20"/>
        </w:rPr>
        <w:t> </w:t>
      </w:r>
      <w:r>
        <w:rPr>
          <w:w w:val="115"/>
          <w:sz w:val="20"/>
        </w:rPr>
        <w:t>de</w:t>
      </w:r>
      <w:r>
        <w:rPr>
          <w:spacing w:val="-7"/>
          <w:w w:val="115"/>
          <w:sz w:val="20"/>
        </w:rPr>
        <w:t> </w:t>
      </w:r>
      <w:r>
        <w:rPr>
          <w:w w:val="115"/>
          <w:sz w:val="20"/>
        </w:rPr>
        <w:t>leasing,</w:t>
      </w:r>
      <w:r>
        <w:rPr>
          <w:spacing w:val="-7"/>
          <w:w w:val="115"/>
          <w:sz w:val="20"/>
        </w:rPr>
        <w:t> </w:t>
      </w:r>
      <w:r>
        <w:rPr>
          <w:w w:val="115"/>
          <w:sz w:val="20"/>
        </w:rPr>
        <w:t>impozitul</w:t>
      </w:r>
      <w:r>
        <w:rPr>
          <w:spacing w:val="-6"/>
          <w:w w:val="115"/>
          <w:sz w:val="20"/>
        </w:rPr>
        <w:t> </w:t>
      </w:r>
      <w:r>
        <w:rPr>
          <w:w w:val="115"/>
          <w:sz w:val="20"/>
        </w:rPr>
        <w:t>pe</w:t>
      </w:r>
      <w:r>
        <w:rPr>
          <w:spacing w:val="-7"/>
          <w:w w:val="115"/>
          <w:sz w:val="20"/>
        </w:rPr>
        <w:t> </w:t>
      </w:r>
      <w:r>
        <w:rPr>
          <w:w w:val="115"/>
          <w:sz w:val="20"/>
        </w:rPr>
        <w:t>clădiri</w:t>
      </w:r>
      <w:r>
        <w:rPr>
          <w:spacing w:val="-7"/>
          <w:w w:val="115"/>
          <w:sz w:val="20"/>
        </w:rPr>
        <w:t> </w:t>
      </w:r>
      <w:r>
        <w:rPr>
          <w:w w:val="115"/>
          <w:sz w:val="20"/>
        </w:rPr>
        <w:t>se</w:t>
      </w:r>
      <w:r>
        <w:rPr>
          <w:spacing w:val="-7"/>
          <w:w w:val="115"/>
          <w:sz w:val="20"/>
        </w:rPr>
        <w:t> </w:t>
      </w:r>
      <w:r>
        <w:rPr>
          <w:w w:val="115"/>
          <w:sz w:val="20"/>
        </w:rPr>
        <w:t>datorează</w:t>
      </w:r>
      <w:r>
        <w:rPr>
          <w:spacing w:val="-7"/>
          <w:w w:val="115"/>
          <w:sz w:val="20"/>
        </w:rPr>
        <w:t> </w:t>
      </w:r>
      <w:r>
        <w:rPr>
          <w:w w:val="115"/>
          <w:sz w:val="20"/>
        </w:rPr>
        <w:t>de</w:t>
      </w:r>
      <w:r>
        <w:rPr>
          <w:spacing w:val="-7"/>
          <w:w w:val="115"/>
          <w:sz w:val="20"/>
        </w:rPr>
        <w:t> </w:t>
      </w:r>
      <w:r>
        <w:rPr>
          <w:w w:val="115"/>
          <w:sz w:val="20"/>
        </w:rPr>
        <w:t>locator,</w:t>
      </w:r>
      <w:r>
        <w:rPr>
          <w:spacing w:val="-6"/>
          <w:w w:val="115"/>
          <w:sz w:val="20"/>
        </w:rPr>
        <w:t> </w:t>
      </w:r>
      <w:r>
        <w:rPr>
          <w:w w:val="115"/>
          <w:sz w:val="20"/>
        </w:rPr>
        <w:t>începând</w:t>
      </w:r>
      <w:r>
        <w:rPr>
          <w:spacing w:val="-7"/>
          <w:w w:val="115"/>
          <w:sz w:val="20"/>
        </w:rPr>
        <w:t> </w:t>
      </w:r>
      <w:r>
        <w:rPr>
          <w:w w:val="115"/>
          <w:sz w:val="20"/>
        </w:rPr>
        <w:t>cu</w:t>
      </w:r>
      <w:r>
        <w:rPr>
          <w:spacing w:val="-7"/>
          <w:w w:val="115"/>
          <w:sz w:val="20"/>
        </w:rPr>
        <w:t> </w:t>
      </w:r>
      <w:r>
        <w:rPr>
          <w:w w:val="115"/>
          <w:sz w:val="20"/>
        </w:rPr>
        <w:t>data de 1 ianuarie a anului următor încheierii procesului-verbal de predare a bunului sau a altor documente similare</w:t>
      </w:r>
      <w:r>
        <w:rPr>
          <w:spacing w:val="-6"/>
          <w:w w:val="115"/>
          <w:sz w:val="20"/>
        </w:rPr>
        <w:t> </w:t>
      </w:r>
      <w:r>
        <w:rPr>
          <w:w w:val="115"/>
          <w:sz w:val="20"/>
        </w:rPr>
        <w:t>care</w:t>
      </w:r>
      <w:r>
        <w:rPr>
          <w:spacing w:val="-6"/>
          <w:w w:val="115"/>
          <w:sz w:val="20"/>
        </w:rPr>
        <w:t> </w:t>
      </w:r>
      <w:r>
        <w:rPr>
          <w:w w:val="115"/>
          <w:sz w:val="20"/>
        </w:rPr>
        <w:t>atestă</w:t>
      </w:r>
      <w:r>
        <w:rPr>
          <w:spacing w:val="-6"/>
          <w:w w:val="115"/>
          <w:sz w:val="20"/>
        </w:rPr>
        <w:t> </w:t>
      </w:r>
      <w:r>
        <w:rPr>
          <w:w w:val="115"/>
          <w:sz w:val="20"/>
        </w:rPr>
        <w:t>intrarea</w:t>
      </w:r>
      <w:r>
        <w:rPr>
          <w:spacing w:val="-5"/>
          <w:w w:val="115"/>
          <w:sz w:val="20"/>
        </w:rPr>
        <w:t> </w:t>
      </w:r>
      <w:r>
        <w:rPr>
          <w:w w:val="115"/>
          <w:sz w:val="20"/>
        </w:rPr>
        <w:t>bunului</w:t>
      </w:r>
      <w:r>
        <w:rPr>
          <w:spacing w:val="-6"/>
          <w:w w:val="115"/>
          <w:sz w:val="20"/>
        </w:rPr>
        <w:t> </w:t>
      </w:r>
      <w:r>
        <w:rPr>
          <w:w w:val="115"/>
          <w:sz w:val="20"/>
        </w:rPr>
        <w:t>în</w:t>
      </w:r>
      <w:r>
        <w:rPr>
          <w:spacing w:val="-6"/>
          <w:w w:val="115"/>
          <w:sz w:val="20"/>
        </w:rPr>
        <w:t> </w:t>
      </w:r>
      <w:r>
        <w:rPr>
          <w:w w:val="115"/>
          <w:sz w:val="20"/>
        </w:rPr>
        <w:t>posesia</w:t>
      </w:r>
      <w:r>
        <w:rPr>
          <w:spacing w:val="-6"/>
          <w:w w:val="115"/>
          <w:sz w:val="20"/>
        </w:rPr>
        <w:t> </w:t>
      </w:r>
      <w:r>
        <w:rPr>
          <w:w w:val="115"/>
          <w:sz w:val="20"/>
        </w:rPr>
        <w:t>locatorului</w:t>
      </w:r>
      <w:r>
        <w:rPr>
          <w:spacing w:val="-5"/>
          <w:w w:val="115"/>
          <w:sz w:val="20"/>
        </w:rPr>
        <w:t> </w:t>
      </w:r>
      <w:r>
        <w:rPr>
          <w:w w:val="115"/>
          <w:sz w:val="20"/>
        </w:rPr>
        <w:t>ca</w:t>
      </w:r>
      <w:r>
        <w:rPr>
          <w:spacing w:val="-6"/>
          <w:w w:val="115"/>
          <w:sz w:val="20"/>
        </w:rPr>
        <w:t> </w:t>
      </w:r>
      <w:r>
        <w:rPr>
          <w:w w:val="115"/>
          <w:sz w:val="20"/>
        </w:rPr>
        <w:t>urmare</w:t>
      </w:r>
      <w:r>
        <w:rPr>
          <w:spacing w:val="-6"/>
          <w:w w:val="115"/>
          <w:sz w:val="20"/>
        </w:rPr>
        <w:t> </w:t>
      </w:r>
      <w:r>
        <w:rPr>
          <w:w w:val="115"/>
          <w:sz w:val="20"/>
        </w:rPr>
        <w:t>a</w:t>
      </w:r>
      <w:r>
        <w:rPr>
          <w:spacing w:val="-6"/>
          <w:w w:val="115"/>
          <w:sz w:val="20"/>
        </w:rPr>
        <w:t> </w:t>
      </w:r>
      <w:r>
        <w:rPr>
          <w:w w:val="115"/>
          <w:sz w:val="20"/>
        </w:rPr>
        <w:t>rezilierii</w:t>
      </w:r>
      <w:r>
        <w:rPr>
          <w:spacing w:val="-5"/>
          <w:w w:val="115"/>
          <w:sz w:val="20"/>
        </w:rPr>
        <w:t> </w:t>
      </w:r>
      <w:r>
        <w:rPr>
          <w:w w:val="115"/>
          <w:sz w:val="20"/>
        </w:rPr>
        <w:t>contractului</w:t>
      </w:r>
      <w:r>
        <w:rPr>
          <w:spacing w:val="-6"/>
          <w:w w:val="115"/>
          <w:sz w:val="20"/>
        </w:rPr>
        <w:t> </w:t>
      </w:r>
      <w:r>
        <w:rPr>
          <w:w w:val="115"/>
          <w:sz w:val="20"/>
        </w:rPr>
        <w:t>de</w:t>
      </w:r>
      <w:r>
        <w:rPr>
          <w:spacing w:val="-6"/>
          <w:w w:val="115"/>
          <w:sz w:val="20"/>
        </w:rPr>
        <w:t> </w:t>
      </w:r>
      <w:r>
        <w:rPr>
          <w:w w:val="115"/>
          <w:sz w:val="20"/>
        </w:rPr>
        <w:t>leasing;</w:t>
      </w:r>
    </w:p>
    <w:p>
      <w:pPr>
        <w:pStyle w:val="ListParagraph"/>
        <w:numPr>
          <w:ilvl w:val="0"/>
          <w:numId w:val="7"/>
        </w:numPr>
        <w:tabs>
          <w:tab w:pos="449" w:val="left" w:leader="none"/>
        </w:tabs>
        <w:spacing w:line="271" w:lineRule="auto" w:before="109" w:after="0"/>
        <w:ind w:left="108" w:right="108" w:firstLine="124"/>
        <w:jc w:val="both"/>
        <w:rPr>
          <w:sz w:val="20"/>
        </w:rPr>
      </w:pPr>
      <w:r>
        <w:rPr>
          <w:w w:val="115"/>
          <w:sz w:val="20"/>
        </w:rP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w:t>
      </w:r>
      <w:r>
        <w:rPr>
          <w:spacing w:val="-1"/>
          <w:w w:val="115"/>
          <w:sz w:val="20"/>
        </w:rPr>
        <w:t> </w:t>
      </w:r>
      <w:r>
        <w:rPr>
          <w:w w:val="115"/>
          <w:sz w:val="20"/>
        </w:rPr>
        <w:t>documente.</w:t>
      </w:r>
    </w:p>
    <w:p>
      <w:pPr>
        <w:pStyle w:val="ListParagraph"/>
        <w:numPr>
          <w:ilvl w:val="2"/>
          <w:numId w:val="3"/>
        </w:numPr>
        <w:tabs>
          <w:tab w:pos="792" w:val="left" w:leader="none"/>
        </w:tabs>
        <w:spacing w:line="271" w:lineRule="auto" w:before="110" w:after="0"/>
        <w:ind w:left="108" w:right="107" w:firstLine="302"/>
        <w:jc w:val="both"/>
        <w:rPr>
          <w:sz w:val="20"/>
        </w:rPr>
      </w:pPr>
      <w:r>
        <w:rPr>
          <w:w w:val="115"/>
          <w:sz w:val="20"/>
        </w:rPr>
        <w:t>Impozitul pe clădiri se plăteşte anual, în două rate egale, până la datele de 31 martie şi 30 septembrie,</w:t>
      </w:r>
      <w:r>
        <w:rPr>
          <w:spacing w:val="-1"/>
          <w:w w:val="115"/>
          <w:sz w:val="20"/>
        </w:rPr>
        <w:t> </w:t>
      </w:r>
      <w:r>
        <w:rPr>
          <w:w w:val="115"/>
          <w:sz w:val="20"/>
        </w:rPr>
        <w:t>inclusiv.</w:t>
      </w:r>
    </w:p>
    <w:p>
      <w:pPr>
        <w:pStyle w:val="ListParagraph"/>
        <w:numPr>
          <w:ilvl w:val="2"/>
          <w:numId w:val="3"/>
        </w:numPr>
        <w:tabs>
          <w:tab w:pos="663" w:val="left" w:leader="none"/>
        </w:tabs>
        <w:spacing w:line="271" w:lineRule="auto" w:before="108" w:after="0"/>
        <w:ind w:left="108" w:right="113" w:firstLine="219"/>
        <w:jc w:val="both"/>
        <w:rPr>
          <w:sz w:val="20"/>
        </w:rPr>
      </w:pPr>
      <w:r>
        <w:rPr>
          <w:w w:val="115"/>
          <w:sz w:val="20"/>
        </w:rPr>
        <w:t>Pentru</w:t>
      </w:r>
      <w:r>
        <w:rPr>
          <w:spacing w:val="-7"/>
          <w:w w:val="115"/>
          <w:sz w:val="20"/>
        </w:rPr>
        <w:t> </w:t>
      </w:r>
      <w:r>
        <w:rPr>
          <w:w w:val="115"/>
          <w:sz w:val="20"/>
        </w:rPr>
        <w:t>plata</w:t>
      </w:r>
      <w:r>
        <w:rPr>
          <w:spacing w:val="-7"/>
          <w:w w:val="115"/>
          <w:sz w:val="20"/>
        </w:rPr>
        <w:t> </w:t>
      </w:r>
      <w:r>
        <w:rPr>
          <w:w w:val="115"/>
          <w:sz w:val="20"/>
        </w:rPr>
        <w:t>cu</w:t>
      </w:r>
      <w:r>
        <w:rPr>
          <w:spacing w:val="-6"/>
          <w:w w:val="115"/>
          <w:sz w:val="20"/>
        </w:rPr>
        <w:t> </w:t>
      </w:r>
      <w:r>
        <w:rPr>
          <w:w w:val="115"/>
          <w:sz w:val="20"/>
        </w:rPr>
        <w:t>anticipaţie</w:t>
      </w:r>
      <w:r>
        <w:rPr>
          <w:spacing w:val="-7"/>
          <w:w w:val="115"/>
          <w:sz w:val="20"/>
        </w:rPr>
        <w:t> </w:t>
      </w:r>
      <w:r>
        <w:rPr>
          <w:w w:val="115"/>
          <w:sz w:val="20"/>
        </w:rPr>
        <w:t>a</w:t>
      </w:r>
      <w:r>
        <w:rPr>
          <w:spacing w:val="-6"/>
          <w:w w:val="115"/>
          <w:sz w:val="20"/>
        </w:rPr>
        <w:t> </w:t>
      </w:r>
      <w:r>
        <w:rPr>
          <w:w w:val="115"/>
          <w:sz w:val="20"/>
        </w:rPr>
        <w:t>impozitului</w:t>
      </w:r>
      <w:r>
        <w:rPr>
          <w:spacing w:val="-7"/>
          <w:w w:val="115"/>
          <w:sz w:val="20"/>
        </w:rPr>
        <w:t> </w:t>
      </w:r>
      <w:r>
        <w:rPr>
          <w:w w:val="115"/>
          <w:sz w:val="20"/>
        </w:rPr>
        <w:t>pe</w:t>
      </w:r>
      <w:r>
        <w:rPr>
          <w:spacing w:val="-6"/>
          <w:w w:val="115"/>
          <w:sz w:val="20"/>
        </w:rPr>
        <w:t> </w:t>
      </w:r>
      <w:r>
        <w:rPr>
          <w:w w:val="115"/>
          <w:sz w:val="20"/>
        </w:rPr>
        <w:t>clădiri,</w:t>
      </w:r>
      <w:r>
        <w:rPr>
          <w:spacing w:val="-7"/>
          <w:w w:val="115"/>
          <w:sz w:val="20"/>
        </w:rPr>
        <w:t> </w:t>
      </w:r>
      <w:r>
        <w:rPr>
          <w:w w:val="115"/>
          <w:sz w:val="20"/>
        </w:rPr>
        <w:t>datorat</w:t>
      </w:r>
      <w:r>
        <w:rPr>
          <w:spacing w:val="-6"/>
          <w:w w:val="115"/>
          <w:sz w:val="20"/>
        </w:rPr>
        <w:t> </w:t>
      </w:r>
      <w:r>
        <w:rPr>
          <w:w w:val="115"/>
          <w:sz w:val="20"/>
        </w:rPr>
        <w:t>pentru</w:t>
      </w:r>
      <w:r>
        <w:rPr>
          <w:spacing w:val="-7"/>
          <w:w w:val="115"/>
          <w:sz w:val="20"/>
        </w:rPr>
        <w:t> </w:t>
      </w:r>
      <w:r>
        <w:rPr>
          <w:w w:val="115"/>
          <w:sz w:val="20"/>
        </w:rPr>
        <w:t>întregul</w:t>
      </w:r>
      <w:r>
        <w:rPr>
          <w:spacing w:val="-7"/>
          <w:w w:val="115"/>
          <w:sz w:val="20"/>
        </w:rPr>
        <w:t> </w:t>
      </w:r>
      <w:r>
        <w:rPr>
          <w:w w:val="115"/>
          <w:sz w:val="20"/>
        </w:rPr>
        <w:t>an</w:t>
      </w:r>
      <w:r>
        <w:rPr>
          <w:spacing w:val="-6"/>
          <w:w w:val="115"/>
          <w:sz w:val="20"/>
        </w:rPr>
        <w:t> </w:t>
      </w:r>
      <w:r>
        <w:rPr>
          <w:w w:val="115"/>
          <w:sz w:val="20"/>
        </w:rPr>
        <w:t>de</w:t>
      </w:r>
      <w:r>
        <w:rPr>
          <w:spacing w:val="-7"/>
          <w:w w:val="115"/>
          <w:sz w:val="20"/>
        </w:rPr>
        <w:t> </w:t>
      </w:r>
      <w:r>
        <w:rPr>
          <w:w w:val="115"/>
          <w:sz w:val="20"/>
        </w:rPr>
        <w:t>către</w:t>
      </w:r>
      <w:r>
        <w:rPr>
          <w:spacing w:val="-6"/>
          <w:w w:val="115"/>
          <w:sz w:val="20"/>
        </w:rPr>
        <w:t> </w:t>
      </w:r>
      <w:r>
        <w:rPr>
          <w:w w:val="115"/>
          <w:sz w:val="20"/>
        </w:rPr>
        <w:t>contribuabili, până</w:t>
      </w:r>
      <w:r>
        <w:rPr>
          <w:spacing w:val="4"/>
          <w:w w:val="115"/>
          <w:sz w:val="20"/>
        </w:rPr>
        <w:t> </w:t>
      </w:r>
      <w:r>
        <w:rPr>
          <w:w w:val="115"/>
          <w:sz w:val="20"/>
        </w:rPr>
        <w:t>la</w:t>
      </w:r>
      <w:r>
        <w:rPr>
          <w:spacing w:val="5"/>
          <w:w w:val="115"/>
          <w:sz w:val="20"/>
        </w:rPr>
        <w:t> </w:t>
      </w:r>
      <w:r>
        <w:rPr>
          <w:w w:val="115"/>
          <w:sz w:val="20"/>
        </w:rPr>
        <w:t>data</w:t>
      </w:r>
      <w:r>
        <w:rPr>
          <w:spacing w:val="5"/>
          <w:w w:val="115"/>
          <w:sz w:val="20"/>
        </w:rPr>
        <w:t> </w:t>
      </w:r>
      <w:r>
        <w:rPr>
          <w:w w:val="115"/>
          <w:sz w:val="20"/>
        </w:rPr>
        <w:t>de</w:t>
      </w:r>
      <w:r>
        <w:rPr>
          <w:spacing w:val="5"/>
          <w:w w:val="115"/>
          <w:sz w:val="20"/>
        </w:rPr>
        <w:t> </w:t>
      </w:r>
      <w:r>
        <w:rPr>
          <w:w w:val="115"/>
          <w:sz w:val="20"/>
        </w:rPr>
        <w:t>31</w:t>
      </w:r>
      <w:r>
        <w:rPr>
          <w:spacing w:val="4"/>
          <w:w w:val="115"/>
          <w:sz w:val="20"/>
        </w:rPr>
        <w:t> </w:t>
      </w:r>
      <w:r>
        <w:rPr>
          <w:w w:val="115"/>
          <w:sz w:val="20"/>
        </w:rPr>
        <w:t>martie</w:t>
      </w:r>
      <w:r>
        <w:rPr>
          <w:spacing w:val="5"/>
          <w:w w:val="115"/>
          <w:sz w:val="20"/>
        </w:rPr>
        <w:t> </w:t>
      </w:r>
      <w:r>
        <w:rPr>
          <w:w w:val="115"/>
          <w:sz w:val="20"/>
        </w:rPr>
        <w:t>a</w:t>
      </w:r>
      <w:r>
        <w:rPr>
          <w:spacing w:val="5"/>
          <w:w w:val="115"/>
          <w:sz w:val="20"/>
        </w:rPr>
        <w:t> </w:t>
      </w:r>
      <w:r>
        <w:rPr>
          <w:w w:val="115"/>
          <w:sz w:val="20"/>
        </w:rPr>
        <w:t>anului</w:t>
      </w:r>
      <w:r>
        <w:rPr>
          <w:spacing w:val="5"/>
          <w:w w:val="115"/>
          <w:sz w:val="20"/>
        </w:rPr>
        <w:t> </w:t>
      </w:r>
      <w:r>
        <w:rPr>
          <w:w w:val="115"/>
          <w:sz w:val="20"/>
        </w:rPr>
        <w:t>respectiv,</w:t>
      </w:r>
      <w:r>
        <w:rPr>
          <w:spacing w:val="5"/>
          <w:w w:val="115"/>
          <w:sz w:val="20"/>
        </w:rPr>
        <w:t> </w:t>
      </w:r>
      <w:r>
        <w:rPr>
          <w:w w:val="115"/>
          <w:sz w:val="20"/>
        </w:rPr>
        <w:t>se</w:t>
      </w:r>
      <w:r>
        <w:rPr>
          <w:spacing w:val="4"/>
          <w:w w:val="115"/>
          <w:sz w:val="20"/>
        </w:rPr>
        <w:t> </w:t>
      </w:r>
      <w:r>
        <w:rPr>
          <w:w w:val="115"/>
          <w:sz w:val="20"/>
        </w:rPr>
        <w:t>acordă</w:t>
      </w:r>
      <w:r>
        <w:rPr>
          <w:spacing w:val="5"/>
          <w:w w:val="115"/>
          <w:sz w:val="20"/>
        </w:rPr>
        <w:t> </w:t>
      </w:r>
      <w:r>
        <w:rPr>
          <w:w w:val="115"/>
          <w:sz w:val="20"/>
        </w:rPr>
        <w:t>o</w:t>
      </w:r>
      <w:r>
        <w:rPr>
          <w:spacing w:val="5"/>
          <w:w w:val="115"/>
          <w:sz w:val="20"/>
        </w:rPr>
        <w:t> </w:t>
      </w:r>
      <w:r>
        <w:rPr>
          <w:w w:val="115"/>
          <w:sz w:val="20"/>
        </w:rPr>
        <w:t>bonificaţie</w:t>
      </w:r>
      <w:r>
        <w:rPr>
          <w:spacing w:val="5"/>
          <w:w w:val="115"/>
          <w:sz w:val="20"/>
        </w:rPr>
        <w:t> </w:t>
      </w:r>
      <w:r>
        <w:rPr>
          <w:w w:val="115"/>
          <w:sz w:val="20"/>
        </w:rPr>
        <w:t>de</w:t>
      </w:r>
      <w:r>
        <w:rPr>
          <w:spacing w:val="11"/>
          <w:w w:val="115"/>
          <w:sz w:val="20"/>
        </w:rPr>
        <w:t> </w:t>
      </w:r>
      <w:r>
        <w:rPr>
          <w:w w:val="115"/>
          <w:sz w:val="20"/>
        </w:rPr>
        <w:t>10%.</w:t>
      </w:r>
    </w:p>
    <w:p>
      <w:pPr>
        <w:pStyle w:val="ListParagraph"/>
        <w:numPr>
          <w:ilvl w:val="2"/>
          <w:numId w:val="3"/>
        </w:numPr>
        <w:tabs>
          <w:tab w:pos="4590" w:val="left" w:leader="none"/>
        </w:tabs>
        <w:spacing w:line="271" w:lineRule="auto" w:before="1" w:after="0"/>
        <w:ind w:left="108" w:right="115" w:firstLine="4145"/>
        <w:jc w:val="left"/>
        <w:rPr>
          <w:sz w:val="20"/>
        </w:rPr>
      </w:pPr>
      <w:r>
        <w:rPr>
          <w:w w:val="115"/>
          <w:sz w:val="20"/>
        </w:rPr>
        <w:t>Impozitul</w:t>
      </w:r>
      <w:r>
        <w:rPr>
          <w:spacing w:val="-7"/>
          <w:w w:val="115"/>
          <w:sz w:val="20"/>
        </w:rPr>
        <w:t> </w:t>
      </w:r>
      <w:r>
        <w:rPr>
          <w:w w:val="115"/>
          <w:sz w:val="20"/>
        </w:rPr>
        <w:t>pe</w:t>
      </w:r>
      <w:r>
        <w:rPr>
          <w:spacing w:val="-6"/>
          <w:w w:val="115"/>
          <w:sz w:val="20"/>
        </w:rPr>
        <w:t> </w:t>
      </w:r>
      <w:r>
        <w:rPr>
          <w:w w:val="115"/>
          <w:sz w:val="20"/>
        </w:rPr>
        <w:t>clădiri,</w:t>
      </w:r>
      <w:r>
        <w:rPr>
          <w:spacing w:val="-6"/>
          <w:w w:val="115"/>
          <w:sz w:val="20"/>
        </w:rPr>
        <w:t> </w:t>
      </w:r>
      <w:r>
        <w:rPr>
          <w:w w:val="115"/>
          <w:sz w:val="20"/>
        </w:rPr>
        <w:t>datorat</w:t>
      </w:r>
      <w:r>
        <w:rPr>
          <w:spacing w:val="-6"/>
          <w:w w:val="115"/>
          <w:sz w:val="20"/>
        </w:rPr>
        <w:t> </w:t>
      </w:r>
      <w:r>
        <w:rPr>
          <w:w w:val="115"/>
          <w:sz w:val="20"/>
        </w:rPr>
        <w:t>aceluiaşi</w:t>
      </w:r>
      <w:r>
        <w:rPr>
          <w:spacing w:val="-6"/>
          <w:w w:val="115"/>
          <w:sz w:val="20"/>
        </w:rPr>
        <w:t> </w:t>
      </w:r>
      <w:r>
        <w:rPr>
          <w:w w:val="115"/>
          <w:sz w:val="20"/>
        </w:rPr>
        <w:t>buget</w:t>
      </w:r>
      <w:r>
        <w:rPr>
          <w:spacing w:val="-6"/>
          <w:w w:val="115"/>
          <w:sz w:val="20"/>
        </w:rPr>
        <w:t> </w:t>
      </w:r>
      <w:r>
        <w:rPr>
          <w:w w:val="115"/>
          <w:sz w:val="20"/>
        </w:rPr>
        <w:t>local</w:t>
      </w:r>
      <w:r>
        <w:rPr>
          <w:spacing w:val="-6"/>
          <w:w w:val="115"/>
          <w:sz w:val="20"/>
        </w:rPr>
        <w:t> </w:t>
      </w:r>
      <w:r>
        <w:rPr>
          <w:w w:val="115"/>
          <w:sz w:val="20"/>
        </w:rPr>
        <w:t>de</w:t>
      </w:r>
      <w:r>
        <w:rPr>
          <w:spacing w:val="-6"/>
          <w:w w:val="115"/>
          <w:sz w:val="20"/>
        </w:rPr>
        <w:t> </w:t>
      </w:r>
      <w:r>
        <w:rPr>
          <w:w w:val="115"/>
          <w:sz w:val="20"/>
        </w:rPr>
        <w:t>către contribuabili,</w:t>
      </w:r>
      <w:r>
        <w:rPr>
          <w:spacing w:val="-4"/>
          <w:w w:val="115"/>
          <w:sz w:val="20"/>
        </w:rPr>
        <w:t> </w:t>
      </w:r>
      <w:r>
        <w:rPr>
          <w:w w:val="115"/>
          <w:sz w:val="20"/>
        </w:rPr>
        <w:t>de</w:t>
      </w:r>
      <w:r>
        <w:rPr>
          <w:spacing w:val="-3"/>
          <w:w w:val="115"/>
          <w:sz w:val="20"/>
        </w:rPr>
        <w:t> </w:t>
      </w:r>
      <w:r>
        <w:rPr>
          <w:w w:val="115"/>
          <w:sz w:val="20"/>
        </w:rPr>
        <w:t>până</w:t>
      </w:r>
      <w:r>
        <w:rPr>
          <w:spacing w:val="-3"/>
          <w:w w:val="115"/>
          <w:sz w:val="20"/>
        </w:rPr>
        <w:t> </w:t>
      </w:r>
      <w:r>
        <w:rPr>
          <w:w w:val="115"/>
          <w:sz w:val="20"/>
        </w:rPr>
        <w:t>la</w:t>
      </w:r>
      <w:r>
        <w:rPr>
          <w:spacing w:val="-3"/>
          <w:w w:val="115"/>
          <w:sz w:val="20"/>
        </w:rPr>
        <w:t> </w:t>
      </w:r>
      <w:r>
        <w:rPr>
          <w:w w:val="115"/>
          <w:sz w:val="20"/>
        </w:rPr>
        <w:t>50</w:t>
      </w:r>
      <w:r>
        <w:rPr>
          <w:spacing w:val="-4"/>
          <w:w w:val="115"/>
          <w:sz w:val="20"/>
        </w:rPr>
        <w:t> </w:t>
      </w:r>
      <w:r>
        <w:rPr>
          <w:w w:val="115"/>
          <w:sz w:val="20"/>
        </w:rPr>
        <w:t>lei</w:t>
      </w:r>
      <w:r>
        <w:rPr>
          <w:spacing w:val="-3"/>
          <w:w w:val="115"/>
          <w:sz w:val="20"/>
        </w:rPr>
        <w:t> </w:t>
      </w:r>
      <w:r>
        <w:rPr>
          <w:w w:val="115"/>
          <w:sz w:val="20"/>
        </w:rPr>
        <w:t>inclusiv,</w:t>
      </w:r>
      <w:r>
        <w:rPr>
          <w:spacing w:val="-3"/>
          <w:w w:val="115"/>
          <w:sz w:val="20"/>
        </w:rPr>
        <w:t> </w:t>
      </w:r>
      <w:r>
        <w:rPr>
          <w:w w:val="115"/>
          <w:sz w:val="20"/>
        </w:rPr>
        <w:t>se</w:t>
      </w:r>
      <w:r>
        <w:rPr>
          <w:spacing w:val="-4"/>
          <w:w w:val="115"/>
          <w:sz w:val="20"/>
        </w:rPr>
        <w:t> </w:t>
      </w:r>
      <w:r>
        <w:rPr>
          <w:w w:val="115"/>
          <w:sz w:val="20"/>
        </w:rPr>
        <w:t>plăteşte</w:t>
      </w:r>
      <w:r>
        <w:rPr>
          <w:spacing w:val="-3"/>
          <w:w w:val="115"/>
          <w:sz w:val="20"/>
        </w:rPr>
        <w:t> </w:t>
      </w:r>
      <w:r>
        <w:rPr>
          <w:w w:val="115"/>
          <w:sz w:val="20"/>
        </w:rPr>
        <w:t>integral</w:t>
      </w:r>
      <w:r>
        <w:rPr>
          <w:spacing w:val="-3"/>
          <w:w w:val="115"/>
          <w:sz w:val="20"/>
        </w:rPr>
        <w:t> </w:t>
      </w:r>
      <w:r>
        <w:rPr>
          <w:w w:val="115"/>
          <w:sz w:val="20"/>
        </w:rPr>
        <w:t>până</w:t>
      </w:r>
      <w:r>
        <w:rPr>
          <w:spacing w:val="-3"/>
          <w:w w:val="115"/>
          <w:sz w:val="20"/>
        </w:rPr>
        <w:t> </w:t>
      </w:r>
      <w:r>
        <w:rPr>
          <w:w w:val="115"/>
          <w:sz w:val="20"/>
        </w:rPr>
        <w:t>la</w:t>
      </w:r>
      <w:r>
        <w:rPr>
          <w:spacing w:val="-4"/>
          <w:w w:val="115"/>
          <w:sz w:val="20"/>
        </w:rPr>
        <w:t> </w:t>
      </w:r>
      <w:r>
        <w:rPr>
          <w:w w:val="115"/>
          <w:sz w:val="20"/>
        </w:rPr>
        <w:t>primul</w:t>
      </w:r>
      <w:r>
        <w:rPr>
          <w:spacing w:val="-3"/>
          <w:w w:val="115"/>
          <w:sz w:val="20"/>
        </w:rPr>
        <w:t> </w:t>
      </w:r>
      <w:r>
        <w:rPr>
          <w:w w:val="115"/>
          <w:sz w:val="20"/>
        </w:rPr>
        <w:t>termen</w:t>
      </w:r>
      <w:r>
        <w:rPr>
          <w:spacing w:val="-3"/>
          <w:w w:val="115"/>
          <w:sz w:val="20"/>
        </w:rPr>
        <w:t> </w:t>
      </w:r>
      <w:r>
        <w:rPr>
          <w:w w:val="115"/>
          <w:sz w:val="20"/>
        </w:rPr>
        <w:t>de</w:t>
      </w:r>
      <w:r>
        <w:rPr>
          <w:spacing w:val="-3"/>
          <w:w w:val="115"/>
          <w:sz w:val="20"/>
        </w:rPr>
        <w:t> </w:t>
      </w:r>
      <w:r>
        <w:rPr>
          <w:w w:val="115"/>
          <w:sz w:val="20"/>
        </w:rPr>
        <w:t>plată.</w:t>
      </w:r>
    </w:p>
    <w:p>
      <w:pPr>
        <w:pStyle w:val="ListParagraph"/>
        <w:numPr>
          <w:ilvl w:val="2"/>
          <w:numId w:val="3"/>
        </w:numPr>
        <w:tabs>
          <w:tab w:pos="688" w:val="left" w:leader="none"/>
        </w:tabs>
        <w:spacing w:line="271" w:lineRule="auto" w:before="109" w:after="0"/>
        <w:ind w:left="108" w:right="116" w:firstLine="224"/>
        <w:jc w:val="both"/>
        <w:rPr>
          <w:sz w:val="20"/>
        </w:rPr>
      </w:pPr>
      <w:r>
        <w:rPr>
          <w:w w:val="115"/>
          <w:sz w:val="20"/>
        </w:rPr>
        <w:t>În cazul în care contribuabilul deţine în proprietate mai multe clădiri amplasate pe raza aceleiaşi unităţi</w:t>
      </w:r>
      <w:r>
        <w:rPr>
          <w:spacing w:val="-7"/>
          <w:w w:val="115"/>
          <w:sz w:val="20"/>
        </w:rPr>
        <w:t> </w:t>
      </w:r>
      <w:r>
        <w:rPr>
          <w:w w:val="115"/>
          <w:sz w:val="20"/>
        </w:rPr>
        <w:t>administrativ-teritoriale,</w:t>
      </w:r>
      <w:r>
        <w:rPr>
          <w:spacing w:val="-6"/>
          <w:w w:val="115"/>
          <w:sz w:val="20"/>
        </w:rPr>
        <w:t> </w:t>
      </w:r>
      <w:r>
        <w:rPr>
          <w:w w:val="115"/>
          <w:sz w:val="20"/>
        </w:rPr>
        <w:t>prevederile</w:t>
      </w:r>
      <w:r>
        <w:rPr>
          <w:spacing w:val="-6"/>
          <w:w w:val="115"/>
          <w:sz w:val="20"/>
        </w:rPr>
        <w:t> </w:t>
      </w:r>
      <w:r>
        <w:rPr>
          <w:w w:val="115"/>
          <w:sz w:val="20"/>
        </w:rPr>
        <w:t>pct.14</w:t>
      </w:r>
      <w:r>
        <w:rPr>
          <w:spacing w:val="-6"/>
          <w:w w:val="115"/>
          <w:sz w:val="20"/>
        </w:rPr>
        <w:t> </w:t>
      </w:r>
      <w:r>
        <w:rPr>
          <w:w w:val="115"/>
          <w:sz w:val="20"/>
        </w:rPr>
        <w:t>si</w:t>
      </w:r>
      <w:r>
        <w:rPr>
          <w:spacing w:val="-6"/>
          <w:w w:val="115"/>
          <w:sz w:val="20"/>
        </w:rPr>
        <w:t> </w:t>
      </w:r>
      <w:r>
        <w:rPr>
          <w:w w:val="115"/>
          <w:sz w:val="20"/>
        </w:rPr>
        <w:t>15</w:t>
      </w:r>
      <w:r>
        <w:rPr>
          <w:spacing w:val="-6"/>
          <w:w w:val="115"/>
          <w:sz w:val="20"/>
        </w:rPr>
        <w:t> </w:t>
      </w:r>
      <w:r>
        <w:rPr>
          <w:w w:val="115"/>
          <w:sz w:val="20"/>
        </w:rPr>
        <w:t>se</w:t>
      </w:r>
      <w:r>
        <w:rPr>
          <w:spacing w:val="-6"/>
          <w:w w:val="115"/>
          <w:sz w:val="20"/>
        </w:rPr>
        <w:t> </w:t>
      </w:r>
      <w:r>
        <w:rPr>
          <w:w w:val="115"/>
          <w:sz w:val="20"/>
        </w:rPr>
        <w:t>referă</w:t>
      </w:r>
      <w:r>
        <w:rPr>
          <w:spacing w:val="-6"/>
          <w:w w:val="115"/>
          <w:sz w:val="20"/>
        </w:rPr>
        <w:t> </w:t>
      </w:r>
      <w:r>
        <w:rPr>
          <w:w w:val="115"/>
          <w:sz w:val="20"/>
        </w:rPr>
        <w:t>la</w:t>
      </w:r>
      <w:r>
        <w:rPr>
          <w:spacing w:val="-6"/>
          <w:w w:val="115"/>
          <w:sz w:val="20"/>
        </w:rPr>
        <w:t> </w:t>
      </w:r>
      <w:r>
        <w:rPr>
          <w:w w:val="115"/>
          <w:sz w:val="20"/>
        </w:rPr>
        <w:t>impozitul</w:t>
      </w:r>
      <w:r>
        <w:rPr>
          <w:spacing w:val="-6"/>
          <w:w w:val="115"/>
          <w:sz w:val="20"/>
        </w:rPr>
        <w:t> </w:t>
      </w:r>
      <w:r>
        <w:rPr>
          <w:w w:val="115"/>
          <w:sz w:val="20"/>
        </w:rPr>
        <w:t>pe</w:t>
      </w:r>
      <w:r>
        <w:rPr>
          <w:spacing w:val="-6"/>
          <w:w w:val="115"/>
          <w:sz w:val="20"/>
        </w:rPr>
        <w:t> </w:t>
      </w:r>
      <w:r>
        <w:rPr>
          <w:w w:val="115"/>
          <w:sz w:val="20"/>
        </w:rPr>
        <w:t>clădiri</w:t>
      </w:r>
      <w:r>
        <w:rPr>
          <w:spacing w:val="-6"/>
          <w:w w:val="115"/>
          <w:sz w:val="20"/>
        </w:rPr>
        <w:t> </w:t>
      </w:r>
      <w:r>
        <w:rPr>
          <w:w w:val="115"/>
          <w:sz w:val="20"/>
        </w:rPr>
        <w:t>cumulat.</w:t>
      </w:r>
    </w:p>
    <w:p>
      <w:pPr>
        <w:spacing w:after="0" w:line="271" w:lineRule="auto"/>
        <w:jc w:val="both"/>
        <w:rPr>
          <w:sz w:val="20"/>
        </w:rPr>
        <w:sectPr>
          <w:pgSz w:w="11900" w:h="16840"/>
          <w:pgMar w:header="0" w:footer="341" w:top="500" w:bottom="560" w:left="1140" w:right="740"/>
        </w:sectPr>
      </w:pPr>
    </w:p>
    <w:p>
      <w:pPr>
        <w:pStyle w:val="ListParagraph"/>
        <w:numPr>
          <w:ilvl w:val="2"/>
          <w:numId w:val="3"/>
        </w:numPr>
        <w:tabs>
          <w:tab w:pos="897" w:val="left" w:leader="none"/>
        </w:tabs>
        <w:spacing w:line="271" w:lineRule="auto" w:before="100" w:after="0"/>
        <w:ind w:left="108" w:right="107" w:firstLine="338"/>
        <w:jc w:val="both"/>
        <w:rPr>
          <w:sz w:val="20"/>
        </w:rPr>
      </w:pPr>
      <w:r>
        <w:rPr>
          <w:w w:val="110"/>
          <w:sz w:val="20"/>
        </w:rPr>
        <w:t>( 1) În cazul unei clădiri executate fără autorizaţie de construire şi nedeclarate de deţinătorul acesteia, organul fiscal local poate înregistra clădirea în evidenţe vederea impunerii, pe baza procesului - verbal de constatare întocmit de structurile de</w:t>
      </w:r>
      <w:r>
        <w:rPr>
          <w:spacing w:val="20"/>
          <w:w w:val="110"/>
          <w:sz w:val="20"/>
        </w:rPr>
        <w:t> </w:t>
      </w:r>
      <w:r>
        <w:rPr>
          <w:w w:val="110"/>
          <w:sz w:val="20"/>
        </w:rPr>
        <w:t>specialitate.</w:t>
      </w:r>
    </w:p>
    <w:p>
      <w:pPr>
        <w:pStyle w:val="ListParagraph"/>
        <w:numPr>
          <w:ilvl w:val="3"/>
          <w:numId w:val="3"/>
        </w:numPr>
        <w:tabs>
          <w:tab w:pos="1317" w:val="left" w:leader="none"/>
        </w:tabs>
        <w:spacing w:line="271" w:lineRule="auto" w:before="2" w:after="0"/>
        <w:ind w:left="108" w:right="110" w:firstLine="907"/>
        <w:jc w:val="both"/>
        <w:rPr>
          <w:sz w:val="20"/>
        </w:rPr>
      </w:pPr>
      <w:r>
        <w:rPr>
          <w:w w:val="115"/>
          <w:sz w:val="20"/>
        </w:rPr>
        <w:t>Impozitul pe clădirile menţionate la alin. (1) se datorează începând cu data de 1 ianuarie a anului următor edificării clădirii, în limita termenului de prescripţie. În cazul în care data edificării este anterioară anului 2016, impozitul pe clădiri datorat până la 31 decembrie 2015 inclusiv, se stabileşte în conformitate cu prevederile legale în vigoare până la această</w:t>
      </w:r>
      <w:r>
        <w:rPr>
          <w:spacing w:val="-18"/>
          <w:w w:val="115"/>
          <w:sz w:val="20"/>
        </w:rPr>
        <w:t> </w:t>
      </w:r>
      <w:r>
        <w:rPr>
          <w:w w:val="115"/>
          <w:sz w:val="20"/>
        </w:rPr>
        <w:t>dată.</w:t>
      </w:r>
    </w:p>
    <w:p>
      <w:pPr>
        <w:pStyle w:val="ListParagraph"/>
        <w:numPr>
          <w:ilvl w:val="3"/>
          <w:numId w:val="3"/>
        </w:numPr>
        <w:tabs>
          <w:tab w:pos="402" w:val="left" w:leader="none"/>
        </w:tabs>
        <w:spacing w:line="271" w:lineRule="auto" w:before="109" w:after="0"/>
        <w:ind w:left="108" w:right="108" w:firstLine="0"/>
        <w:jc w:val="both"/>
        <w:rPr>
          <w:sz w:val="20"/>
        </w:rPr>
      </w:pPr>
      <w:r>
        <w:rPr>
          <w:w w:val="115"/>
          <w:sz w:val="20"/>
        </w:rPr>
        <w:t>În înţelesul alin. (2), data edificării se stabileşte în baza unui proces - verbal de constatare întocmit de organul fiscal local. Procesul - verbal de constatare se întocmeşte şi în cazul contribuabililor care declară o clădire ce a fost executată fără</w:t>
      </w:r>
      <w:r>
        <w:rPr>
          <w:spacing w:val="-10"/>
          <w:w w:val="115"/>
          <w:sz w:val="20"/>
        </w:rPr>
        <w:t> </w:t>
      </w:r>
      <w:r>
        <w:rPr>
          <w:w w:val="115"/>
          <w:sz w:val="20"/>
        </w:rPr>
        <w:t>autorizaţie.</w:t>
      </w:r>
    </w:p>
    <w:p>
      <w:pPr>
        <w:pStyle w:val="ListParagraph"/>
        <w:numPr>
          <w:ilvl w:val="2"/>
          <w:numId w:val="3"/>
        </w:numPr>
        <w:tabs>
          <w:tab w:pos="643" w:val="left" w:leader="none"/>
        </w:tabs>
        <w:spacing w:line="271" w:lineRule="auto" w:before="109" w:after="0"/>
        <w:ind w:left="108" w:right="106" w:firstLine="190"/>
        <w:jc w:val="both"/>
        <w:rPr>
          <w:sz w:val="20"/>
        </w:rPr>
      </w:pPr>
      <w:r>
        <w:rPr>
          <w:w w:val="115"/>
          <w:sz w:val="20"/>
        </w:rPr>
        <w:t>Taxa pe clădiri se plăteşte lunar, până la data de 25 a lunii următoare fiecărei luni din perioada de valabilitate a contractului prin care se transmite dreptul de concesiune, închiriere, administrare ori folosinţă.</w:t>
      </w:r>
    </w:p>
    <w:p>
      <w:pPr>
        <w:pStyle w:val="Heading2"/>
        <w:spacing w:before="112"/>
        <w:ind w:left="891"/>
      </w:pPr>
      <w:r>
        <w:rPr/>
        <w:t>SCUTIRI:</w:t>
      </w:r>
    </w:p>
    <w:p>
      <w:pPr>
        <w:pStyle w:val="ListParagraph"/>
        <w:numPr>
          <w:ilvl w:val="0"/>
          <w:numId w:val="8"/>
        </w:numPr>
        <w:tabs>
          <w:tab w:pos="560" w:val="left" w:leader="none"/>
        </w:tabs>
        <w:spacing w:line="240" w:lineRule="auto" w:before="151" w:after="0"/>
        <w:ind w:left="559" w:right="0" w:hanging="192"/>
        <w:jc w:val="left"/>
        <w:rPr>
          <w:rFonts w:ascii="Arial" w:hAnsi="Arial"/>
          <w:sz w:val="20"/>
        </w:rPr>
      </w:pPr>
      <w:r>
        <w:rPr>
          <w:w w:val="115"/>
          <w:sz w:val="20"/>
        </w:rPr>
        <w:t>Nu se datorează impozit/taxă pe clădiri</w:t>
      </w:r>
      <w:r>
        <w:rPr>
          <w:spacing w:val="-8"/>
          <w:w w:val="115"/>
          <w:sz w:val="20"/>
        </w:rPr>
        <w:t> </w:t>
      </w:r>
      <w:r>
        <w:rPr>
          <w:w w:val="115"/>
          <w:sz w:val="20"/>
        </w:rPr>
        <w:t>pentru:</w:t>
      </w:r>
    </w:p>
    <w:p>
      <w:pPr>
        <w:pStyle w:val="ListParagraph"/>
        <w:numPr>
          <w:ilvl w:val="0"/>
          <w:numId w:val="9"/>
        </w:numPr>
        <w:tabs>
          <w:tab w:pos="351" w:val="left" w:leader="none"/>
        </w:tabs>
        <w:spacing w:line="271" w:lineRule="auto" w:before="140" w:after="0"/>
        <w:ind w:left="108" w:right="117" w:firstLine="0"/>
        <w:jc w:val="both"/>
        <w:rPr>
          <w:rFonts w:ascii="Arial" w:hAnsi="Arial"/>
          <w:sz w:val="20"/>
        </w:rPr>
      </w:pPr>
      <w:r>
        <w:rPr>
          <w:w w:val="115"/>
          <w:sz w:val="20"/>
        </w:rPr>
        <w:t>clădirile</w:t>
      </w:r>
      <w:r>
        <w:rPr>
          <w:spacing w:val="-5"/>
          <w:w w:val="115"/>
          <w:sz w:val="20"/>
        </w:rPr>
        <w:t> </w:t>
      </w:r>
      <w:r>
        <w:rPr>
          <w:w w:val="115"/>
          <w:sz w:val="20"/>
        </w:rPr>
        <w:t>aflate</w:t>
      </w:r>
      <w:r>
        <w:rPr>
          <w:spacing w:val="-4"/>
          <w:w w:val="115"/>
          <w:sz w:val="20"/>
        </w:rPr>
        <w:t> </w:t>
      </w:r>
      <w:r>
        <w:rPr>
          <w:w w:val="115"/>
          <w:sz w:val="20"/>
        </w:rPr>
        <w:t>în</w:t>
      </w:r>
      <w:r>
        <w:rPr>
          <w:spacing w:val="-4"/>
          <w:w w:val="115"/>
          <w:sz w:val="20"/>
        </w:rPr>
        <w:t> </w:t>
      </w:r>
      <w:r>
        <w:rPr>
          <w:w w:val="115"/>
          <w:sz w:val="20"/>
        </w:rPr>
        <w:t>proprietatea</w:t>
      </w:r>
      <w:r>
        <w:rPr>
          <w:spacing w:val="-5"/>
          <w:w w:val="115"/>
          <w:sz w:val="20"/>
        </w:rPr>
        <w:t> </w:t>
      </w:r>
      <w:r>
        <w:rPr>
          <w:w w:val="115"/>
          <w:sz w:val="20"/>
        </w:rPr>
        <w:t>publică</w:t>
      </w:r>
      <w:r>
        <w:rPr>
          <w:spacing w:val="-4"/>
          <w:w w:val="115"/>
          <w:sz w:val="20"/>
        </w:rPr>
        <w:t> </w:t>
      </w:r>
      <w:r>
        <w:rPr>
          <w:w w:val="115"/>
          <w:sz w:val="20"/>
        </w:rPr>
        <w:t>sau</w:t>
      </w:r>
      <w:r>
        <w:rPr>
          <w:spacing w:val="-4"/>
          <w:w w:val="115"/>
          <w:sz w:val="20"/>
        </w:rPr>
        <w:t> </w:t>
      </w:r>
      <w:r>
        <w:rPr>
          <w:w w:val="115"/>
          <w:sz w:val="20"/>
        </w:rPr>
        <w:t>privată</w:t>
      </w:r>
      <w:r>
        <w:rPr>
          <w:spacing w:val="-5"/>
          <w:w w:val="115"/>
          <w:sz w:val="20"/>
        </w:rPr>
        <w:t> </w:t>
      </w:r>
      <w:r>
        <w:rPr>
          <w:w w:val="115"/>
          <w:sz w:val="20"/>
        </w:rPr>
        <w:t>a</w:t>
      </w:r>
      <w:r>
        <w:rPr>
          <w:spacing w:val="-4"/>
          <w:w w:val="115"/>
          <w:sz w:val="20"/>
        </w:rPr>
        <w:t> </w:t>
      </w:r>
      <w:r>
        <w:rPr>
          <w:w w:val="115"/>
          <w:sz w:val="20"/>
        </w:rPr>
        <w:t>statului</w:t>
      </w:r>
      <w:r>
        <w:rPr>
          <w:spacing w:val="-4"/>
          <w:w w:val="115"/>
          <w:sz w:val="20"/>
        </w:rPr>
        <w:t> </w:t>
      </w:r>
      <w:r>
        <w:rPr>
          <w:w w:val="115"/>
          <w:sz w:val="20"/>
        </w:rPr>
        <w:t>sau</w:t>
      </w:r>
      <w:r>
        <w:rPr>
          <w:spacing w:val="-5"/>
          <w:w w:val="115"/>
          <w:sz w:val="20"/>
        </w:rPr>
        <w:t> </w:t>
      </w:r>
      <w:r>
        <w:rPr>
          <w:w w:val="115"/>
          <w:sz w:val="20"/>
        </w:rPr>
        <w:t>a</w:t>
      </w:r>
      <w:r>
        <w:rPr>
          <w:spacing w:val="-4"/>
          <w:w w:val="115"/>
          <w:sz w:val="20"/>
        </w:rPr>
        <w:t> </w:t>
      </w:r>
      <w:r>
        <w:rPr>
          <w:w w:val="115"/>
          <w:sz w:val="20"/>
        </w:rPr>
        <w:t>unităţilor</w:t>
      </w:r>
      <w:r>
        <w:rPr>
          <w:spacing w:val="-4"/>
          <w:w w:val="115"/>
          <w:sz w:val="20"/>
        </w:rPr>
        <w:t> </w:t>
      </w:r>
      <w:r>
        <w:rPr>
          <w:w w:val="115"/>
          <w:sz w:val="20"/>
        </w:rPr>
        <w:t>administrativ-teritoriale,</w:t>
      </w:r>
      <w:r>
        <w:rPr>
          <w:spacing w:val="-5"/>
          <w:w w:val="115"/>
          <w:sz w:val="20"/>
        </w:rPr>
        <w:t> </w:t>
      </w:r>
      <w:r>
        <w:rPr>
          <w:w w:val="115"/>
          <w:sz w:val="20"/>
        </w:rPr>
        <w:t>cu excepţia încăperilor folosite pentru activităţi economice sau agrement, altele decât cele desfăşurate în relaţie cu persoane juridice de drept</w:t>
      </w:r>
      <w:r>
        <w:rPr>
          <w:spacing w:val="-8"/>
          <w:w w:val="115"/>
          <w:sz w:val="20"/>
        </w:rPr>
        <w:t> </w:t>
      </w:r>
      <w:r>
        <w:rPr>
          <w:w w:val="115"/>
          <w:sz w:val="20"/>
        </w:rPr>
        <w:t>public;</w:t>
      </w:r>
    </w:p>
    <w:p>
      <w:pPr>
        <w:pStyle w:val="ListParagraph"/>
        <w:numPr>
          <w:ilvl w:val="0"/>
          <w:numId w:val="9"/>
        </w:numPr>
        <w:tabs>
          <w:tab w:pos="400" w:val="left" w:leader="none"/>
        </w:tabs>
        <w:spacing w:line="271" w:lineRule="auto" w:before="109" w:after="0"/>
        <w:ind w:left="108" w:right="112" w:firstLine="0"/>
        <w:jc w:val="both"/>
        <w:rPr>
          <w:rFonts w:ascii="Arial" w:hAnsi="Arial"/>
          <w:sz w:val="20"/>
        </w:rPr>
      </w:pPr>
      <w:r>
        <w:rPr>
          <w:w w:val="115"/>
          <w:sz w:val="20"/>
        </w:rPr>
        <w:t>clădirile aflate în domeniul privat al statului concesionate, închiriate, date în administrare ori în folosinţă, după caz, instituţiilor publice cu finanţare de la bugetul de stat, utilizate pentru activitatea proprie a</w:t>
      </w:r>
      <w:r>
        <w:rPr>
          <w:spacing w:val="-2"/>
          <w:w w:val="115"/>
          <w:sz w:val="20"/>
        </w:rPr>
        <w:t> </w:t>
      </w:r>
      <w:r>
        <w:rPr>
          <w:w w:val="115"/>
          <w:sz w:val="20"/>
        </w:rPr>
        <w:t>acestora;</w:t>
      </w:r>
    </w:p>
    <w:p>
      <w:pPr>
        <w:pStyle w:val="ListParagraph"/>
        <w:numPr>
          <w:ilvl w:val="0"/>
          <w:numId w:val="9"/>
        </w:numPr>
        <w:tabs>
          <w:tab w:pos="343" w:val="left" w:leader="none"/>
        </w:tabs>
        <w:spacing w:line="271" w:lineRule="auto" w:before="109" w:after="0"/>
        <w:ind w:left="108" w:right="107" w:firstLine="0"/>
        <w:jc w:val="both"/>
        <w:rPr>
          <w:rFonts w:ascii="Arial" w:hAnsi="Arial"/>
          <w:sz w:val="20"/>
        </w:rPr>
      </w:pPr>
      <w:r>
        <w:rPr>
          <w:w w:val="115"/>
          <w:sz w:val="20"/>
        </w:rPr>
        <w:t>clădirile aflate în proprietatea fundaţiilor înfiinţate prin testament constituite, conform legii, cu scopul de a întreţine, dezvolta şi ajuta instituţii de cultură naţională, precum şi de a susţine acţiuni cu caracter umanitar, social şi</w:t>
      </w:r>
      <w:r>
        <w:rPr>
          <w:spacing w:val="-4"/>
          <w:w w:val="115"/>
          <w:sz w:val="20"/>
        </w:rPr>
        <w:t> </w:t>
      </w:r>
      <w:r>
        <w:rPr>
          <w:w w:val="115"/>
          <w:sz w:val="20"/>
        </w:rPr>
        <w:t>cultural;</w:t>
      </w:r>
    </w:p>
    <w:p>
      <w:pPr>
        <w:pStyle w:val="ListParagraph"/>
        <w:numPr>
          <w:ilvl w:val="0"/>
          <w:numId w:val="9"/>
        </w:numPr>
        <w:tabs>
          <w:tab w:pos="382" w:val="left" w:leader="none"/>
        </w:tabs>
        <w:spacing w:line="271" w:lineRule="auto" w:before="109" w:after="0"/>
        <w:ind w:left="108" w:right="115" w:firstLine="0"/>
        <w:jc w:val="both"/>
        <w:rPr>
          <w:rFonts w:ascii="Arial" w:hAnsi="Arial"/>
          <w:sz w:val="20"/>
        </w:rPr>
      </w:pPr>
      <w:r>
        <w:rPr>
          <w:w w:val="115"/>
          <w:sz w:val="20"/>
        </w:rPr>
        <w:t>clădirile care, prin destinaţie, constituie lăcaşuri de cult, aparţinând cultelor religioase recunoscute oficial , asociaţiilor religioase, şi componentelor locale ale acestora,precum si casele parohiale cu excepţia încăperilor folosite pentru activităţi</w:t>
      </w:r>
      <w:r>
        <w:rPr>
          <w:spacing w:val="-10"/>
          <w:w w:val="115"/>
          <w:sz w:val="20"/>
        </w:rPr>
        <w:t> </w:t>
      </w:r>
      <w:r>
        <w:rPr>
          <w:w w:val="115"/>
          <w:sz w:val="20"/>
        </w:rPr>
        <w:t>economice;</w:t>
      </w:r>
    </w:p>
    <w:p>
      <w:pPr>
        <w:pStyle w:val="ListParagraph"/>
        <w:numPr>
          <w:ilvl w:val="0"/>
          <w:numId w:val="9"/>
        </w:numPr>
        <w:tabs>
          <w:tab w:pos="345" w:val="left" w:leader="none"/>
        </w:tabs>
        <w:spacing w:line="240" w:lineRule="auto" w:before="108" w:after="0"/>
        <w:ind w:left="344" w:right="0" w:hanging="236"/>
        <w:jc w:val="both"/>
        <w:rPr>
          <w:rFonts w:ascii="Arial" w:hAnsi="Arial"/>
          <w:sz w:val="20"/>
        </w:rPr>
      </w:pPr>
      <w:r>
        <w:rPr>
          <w:w w:val="115"/>
          <w:sz w:val="20"/>
        </w:rPr>
        <w:t>clădirile funerare din cimitire şi</w:t>
      </w:r>
      <w:r>
        <w:rPr>
          <w:spacing w:val="-7"/>
          <w:w w:val="115"/>
          <w:sz w:val="20"/>
        </w:rPr>
        <w:t> </w:t>
      </w:r>
      <w:r>
        <w:rPr>
          <w:w w:val="115"/>
          <w:sz w:val="20"/>
        </w:rPr>
        <w:t>crematorii;</w:t>
      </w:r>
    </w:p>
    <w:p>
      <w:pPr>
        <w:pStyle w:val="ListParagraph"/>
        <w:numPr>
          <w:ilvl w:val="0"/>
          <w:numId w:val="9"/>
        </w:numPr>
        <w:tabs>
          <w:tab w:pos="314" w:val="left" w:leader="none"/>
        </w:tabs>
        <w:spacing w:line="271" w:lineRule="auto" w:before="140" w:after="0"/>
        <w:ind w:left="108" w:right="107" w:firstLine="0"/>
        <w:jc w:val="both"/>
        <w:rPr>
          <w:rFonts w:ascii="Arial" w:hAnsi="Arial"/>
          <w:sz w:val="20"/>
        </w:rPr>
      </w:pPr>
      <w:r>
        <w:rPr>
          <w:w w:val="115"/>
          <w:sz w:val="20"/>
        </w:rPr>
        <w:t>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w:t>
      </w:r>
      <w:hyperlink r:id="rId8">
        <w:r>
          <w:rPr>
            <w:color w:val="3DA7F6"/>
            <w:w w:val="115"/>
            <w:sz w:val="20"/>
            <w:u w:val="single" w:color="3DA7F6"/>
          </w:rPr>
          <w:t> Legii nr. 263/2007</w:t>
        </w:r>
        <w:r>
          <w:rPr>
            <w:color w:val="3DA7F6"/>
            <w:w w:val="115"/>
            <w:sz w:val="20"/>
          </w:rPr>
          <w:t> </w:t>
        </w:r>
      </w:hyperlink>
      <w:r>
        <w:rPr>
          <w:w w:val="115"/>
          <w:sz w:val="20"/>
        </w:rPr>
        <w:t>privind înfiinţarea, organizarea şi funcţionarea creşelor, cu modificările şi completările</w:t>
      </w:r>
      <w:r>
        <w:rPr>
          <w:spacing w:val="-8"/>
          <w:w w:val="115"/>
          <w:sz w:val="20"/>
        </w:rPr>
        <w:t> </w:t>
      </w:r>
      <w:r>
        <w:rPr>
          <w:w w:val="115"/>
          <w:sz w:val="20"/>
        </w:rPr>
        <w:t>ulterioare;</w:t>
      </w:r>
    </w:p>
    <w:p>
      <w:pPr>
        <w:pStyle w:val="ListParagraph"/>
        <w:numPr>
          <w:ilvl w:val="0"/>
          <w:numId w:val="9"/>
        </w:numPr>
        <w:tabs>
          <w:tab w:pos="330" w:val="left" w:leader="none"/>
        </w:tabs>
        <w:spacing w:line="271" w:lineRule="auto" w:before="111" w:after="0"/>
        <w:ind w:left="108" w:right="117" w:firstLine="0"/>
        <w:jc w:val="both"/>
        <w:rPr>
          <w:rFonts w:ascii="Arial" w:hAnsi="Arial"/>
          <w:sz w:val="20"/>
        </w:rPr>
      </w:pPr>
      <w:r>
        <w:rPr>
          <w:w w:val="115"/>
          <w:sz w:val="20"/>
        </w:rPr>
        <w:t>clădirile</w:t>
      </w:r>
      <w:r>
        <w:rPr>
          <w:spacing w:val="-11"/>
          <w:w w:val="115"/>
          <w:sz w:val="20"/>
        </w:rPr>
        <w:t> </w:t>
      </w:r>
      <w:r>
        <w:rPr>
          <w:w w:val="115"/>
          <w:sz w:val="20"/>
        </w:rPr>
        <w:t>unei</w:t>
      </w:r>
      <w:r>
        <w:rPr>
          <w:spacing w:val="-10"/>
          <w:w w:val="115"/>
          <w:sz w:val="20"/>
        </w:rPr>
        <w:t> </w:t>
      </w:r>
      <w:r>
        <w:rPr>
          <w:w w:val="115"/>
          <w:sz w:val="20"/>
        </w:rPr>
        <w:t>instituţii</w:t>
      </w:r>
      <w:r>
        <w:rPr>
          <w:spacing w:val="-11"/>
          <w:w w:val="115"/>
          <w:sz w:val="20"/>
        </w:rPr>
        <w:t> </w:t>
      </w:r>
      <w:r>
        <w:rPr>
          <w:w w:val="115"/>
          <w:sz w:val="20"/>
        </w:rPr>
        <w:t>sau</w:t>
      </w:r>
      <w:r>
        <w:rPr>
          <w:spacing w:val="-10"/>
          <w:w w:val="115"/>
          <w:sz w:val="20"/>
        </w:rPr>
        <w:t> </w:t>
      </w:r>
      <w:r>
        <w:rPr>
          <w:w w:val="115"/>
          <w:sz w:val="20"/>
        </w:rPr>
        <w:t>unităţi</w:t>
      </w:r>
      <w:r>
        <w:rPr>
          <w:spacing w:val="-10"/>
          <w:w w:val="115"/>
          <w:sz w:val="20"/>
        </w:rPr>
        <w:t> </w:t>
      </w:r>
      <w:r>
        <w:rPr>
          <w:w w:val="115"/>
          <w:sz w:val="20"/>
        </w:rPr>
        <w:t>care</w:t>
      </w:r>
      <w:r>
        <w:rPr>
          <w:spacing w:val="-11"/>
          <w:w w:val="115"/>
          <w:sz w:val="20"/>
        </w:rPr>
        <w:t> </w:t>
      </w:r>
      <w:r>
        <w:rPr>
          <w:w w:val="115"/>
          <w:sz w:val="20"/>
        </w:rPr>
        <w:t>funcţionează</w:t>
      </w:r>
      <w:r>
        <w:rPr>
          <w:spacing w:val="-10"/>
          <w:w w:val="115"/>
          <w:sz w:val="20"/>
        </w:rPr>
        <w:t> </w:t>
      </w:r>
      <w:r>
        <w:rPr>
          <w:w w:val="115"/>
          <w:sz w:val="20"/>
        </w:rPr>
        <w:t>sub</w:t>
      </w:r>
      <w:r>
        <w:rPr>
          <w:spacing w:val="-10"/>
          <w:w w:val="115"/>
          <w:sz w:val="20"/>
        </w:rPr>
        <w:t> </w:t>
      </w:r>
      <w:r>
        <w:rPr>
          <w:w w:val="115"/>
          <w:sz w:val="20"/>
        </w:rPr>
        <w:t>coordonarea</w:t>
      </w:r>
      <w:r>
        <w:rPr>
          <w:spacing w:val="-11"/>
          <w:w w:val="115"/>
          <w:sz w:val="20"/>
        </w:rPr>
        <w:t> </w:t>
      </w:r>
      <w:r>
        <w:rPr>
          <w:w w:val="115"/>
          <w:sz w:val="20"/>
        </w:rPr>
        <w:t>Ministerului</w:t>
      </w:r>
      <w:r>
        <w:rPr>
          <w:spacing w:val="-10"/>
          <w:w w:val="115"/>
          <w:sz w:val="20"/>
        </w:rPr>
        <w:t> </w:t>
      </w:r>
      <w:r>
        <w:rPr>
          <w:w w:val="115"/>
          <w:sz w:val="20"/>
        </w:rPr>
        <w:t>Educaţiei</w:t>
      </w:r>
      <w:r>
        <w:rPr>
          <w:spacing w:val="-10"/>
          <w:w w:val="115"/>
          <w:sz w:val="20"/>
        </w:rPr>
        <w:t> </w:t>
      </w:r>
      <w:r>
        <w:rPr>
          <w:w w:val="115"/>
          <w:sz w:val="20"/>
        </w:rPr>
        <w:t>şi</w:t>
      </w:r>
      <w:r>
        <w:rPr>
          <w:spacing w:val="-11"/>
          <w:w w:val="115"/>
          <w:sz w:val="20"/>
        </w:rPr>
        <w:t> </w:t>
      </w:r>
      <w:r>
        <w:rPr>
          <w:w w:val="115"/>
          <w:sz w:val="20"/>
        </w:rPr>
        <w:t>Cercetării Ştiinţifice</w:t>
      </w:r>
      <w:r>
        <w:rPr>
          <w:spacing w:val="-5"/>
          <w:w w:val="115"/>
          <w:sz w:val="20"/>
        </w:rPr>
        <w:t> </w:t>
      </w:r>
      <w:r>
        <w:rPr>
          <w:w w:val="115"/>
          <w:sz w:val="20"/>
        </w:rPr>
        <w:t>sau</w:t>
      </w:r>
      <w:r>
        <w:rPr>
          <w:spacing w:val="-4"/>
          <w:w w:val="115"/>
          <w:sz w:val="20"/>
        </w:rPr>
        <w:t> </w:t>
      </w:r>
      <w:r>
        <w:rPr>
          <w:w w:val="115"/>
          <w:sz w:val="20"/>
        </w:rPr>
        <w:t>a</w:t>
      </w:r>
      <w:r>
        <w:rPr>
          <w:spacing w:val="-4"/>
          <w:w w:val="115"/>
          <w:sz w:val="20"/>
        </w:rPr>
        <w:t> </w:t>
      </w:r>
      <w:r>
        <w:rPr>
          <w:w w:val="115"/>
          <w:sz w:val="20"/>
        </w:rPr>
        <w:t>Ministerului</w:t>
      </w:r>
      <w:r>
        <w:rPr>
          <w:spacing w:val="-4"/>
          <w:w w:val="115"/>
          <w:sz w:val="20"/>
        </w:rPr>
        <w:t> </w:t>
      </w:r>
      <w:r>
        <w:rPr>
          <w:w w:val="115"/>
          <w:sz w:val="20"/>
        </w:rPr>
        <w:t>Tineretului</w:t>
      </w:r>
      <w:r>
        <w:rPr>
          <w:spacing w:val="-5"/>
          <w:w w:val="115"/>
          <w:sz w:val="20"/>
        </w:rPr>
        <w:t> </w:t>
      </w:r>
      <w:r>
        <w:rPr>
          <w:w w:val="115"/>
          <w:sz w:val="20"/>
        </w:rPr>
        <w:t>şi</w:t>
      </w:r>
      <w:r>
        <w:rPr>
          <w:spacing w:val="-4"/>
          <w:w w:val="115"/>
          <w:sz w:val="20"/>
        </w:rPr>
        <w:t> </w:t>
      </w:r>
      <w:r>
        <w:rPr>
          <w:w w:val="115"/>
          <w:sz w:val="20"/>
        </w:rPr>
        <w:t>Sportului,</w:t>
      </w:r>
      <w:r>
        <w:rPr>
          <w:spacing w:val="-4"/>
          <w:w w:val="115"/>
          <w:sz w:val="20"/>
        </w:rPr>
        <w:t> </w:t>
      </w:r>
      <w:r>
        <w:rPr>
          <w:w w:val="115"/>
          <w:sz w:val="20"/>
        </w:rPr>
        <w:t>precum</w:t>
      </w:r>
      <w:r>
        <w:rPr>
          <w:spacing w:val="-4"/>
          <w:w w:val="115"/>
          <w:sz w:val="20"/>
        </w:rPr>
        <w:t> </w:t>
      </w:r>
      <w:r>
        <w:rPr>
          <w:w w:val="115"/>
          <w:sz w:val="20"/>
        </w:rPr>
        <w:t>şi</w:t>
      </w:r>
      <w:r>
        <w:rPr>
          <w:spacing w:val="-4"/>
          <w:w w:val="115"/>
          <w:sz w:val="20"/>
        </w:rPr>
        <w:t> </w:t>
      </w:r>
      <w:r>
        <w:rPr>
          <w:w w:val="115"/>
          <w:sz w:val="20"/>
        </w:rPr>
        <w:t>clădirile</w:t>
      </w:r>
      <w:r>
        <w:rPr>
          <w:spacing w:val="-4"/>
          <w:w w:val="115"/>
          <w:sz w:val="20"/>
        </w:rPr>
        <w:t> </w:t>
      </w:r>
      <w:r>
        <w:rPr>
          <w:w w:val="115"/>
          <w:sz w:val="20"/>
        </w:rPr>
        <w:t>federaţiilor</w:t>
      </w:r>
      <w:r>
        <w:rPr>
          <w:spacing w:val="-3"/>
          <w:w w:val="115"/>
          <w:sz w:val="20"/>
        </w:rPr>
        <w:t> </w:t>
      </w:r>
      <w:r>
        <w:rPr>
          <w:w w:val="115"/>
          <w:sz w:val="20"/>
        </w:rPr>
        <w:t>sportive</w:t>
      </w:r>
      <w:r>
        <w:rPr>
          <w:spacing w:val="-5"/>
          <w:w w:val="115"/>
          <w:sz w:val="20"/>
        </w:rPr>
        <w:t> </w:t>
      </w:r>
      <w:r>
        <w:rPr>
          <w:w w:val="115"/>
          <w:sz w:val="20"/>
        </w:rPr>
        <w:t>naţionale,</w:t>
      </w:r>
      <w:r>
        <w:rPr>
          <w:spacing w:val="-4"/>
          <w:w w:val="115"/>
          <w:sz w:val="20"/>
        </w:rPr>
        <w:t> </w:t>
      </w:r>
      <w:r>
        <w:rPr>
          <w:w w:val="115"/>
          <w:sz w:val="20"/>
        </w:rPr>
        <w:t>ale Comitetului Olimpic şi Sportiv Român, cu excepţia încăperilor care sunt folosite pentru activităţi economice;</w:t>
      </w:r>
    </w:p>
    <w:p>
      <w:pPr>
        <w:pStyle w:val="ListParagraph"/>
        <w:numPr>
          <w:ilvl w:val="0"/>
          <w:numId w:val="9"/>
        </w:numPr>
        <w:tabs>
          <w:tab w:pos="350" w:val="left" w:leader="none"/>
        </w:tabs>
        <w:spacing w:line="271" w:lineRule="auto" w:before="109" w:after="0"/>
        <w:ind w:left="108" w:right="114" w:firstLine="0"/>
        <w:jc w:val="both"/>
        <w:rPr>
          <w:rFonts w:ascii="Arial" w:hAnsi="Arial"/>
          <w:sz w:val="20"/>
        </w:rPr>
      </w:pPr>
      <w:r>
        <w:rPr>
          <w:w w:val="115"/>
          <w:sz w:val="20"/>
        </w:rPr>
        <w:t>clădirile</w:t>
      </w:r>
      <w:r>
        <w:rPr>
          <w:spacing w:val="-10"/>
          <w:w w:val="115"/>
          <w:sz w:val="20"/>
        </w:rPr>
        <w:t> </w:t>
      </w:r>
      <w:r>
        <w:rPr>
          <w:w w:val="115"/>
          <w:sz w:val="20"/>
        </w:rPr>
        <w:t>unităţilor</w:t>
      </w:r>
      <w:r>
        <w:rPr>
          <w:spacing w:val="-9"/>
          <w:w w:val="115"/>
          <w:sz w:val="20"/>
        </w:rPr>
        <w:t> </w:t>
      </w:r>
      <w:r>
        <w:rPr>
          <w:w w:val="115"/>
          <w:sz w:val="20"/>
        </w:rPr>
        <w:t>sanitare</w:t>
      </w:r>
      <w:r>
        <w:rPr>
          <w:spacing w:val="-9"/>
          <w:w w:val="115"/>
          <w:sz w:val="20"/>
        </w:rPr>
        <w:t> </w:t>
      </w:r>
      <w:r>
        <w:rPr>
          <w:w w:val="115"/>
          <w:sz w:val="20"/>
        </w:rPr>
        <w:t>publice,</w:t>
      </w:r>
      <w:r>
        <w:rPr>
          <w:spacing w:val="-10"/>
          <w:w w:val="115"/>
          <w:sz w:val="20"/>
        </w:rPr>
        <w:t> </w:t>
      </w:r>
      <w:r>
        <w:rPr>
          <w:w w:val="115"/>
          <w:sz w:val="20"/>
        </w:rPr>
        <w:t>cu</w:t>
      </w:r>
      <w:r>
        <w:rPr>
          <w:spacing w:val="-9"/>
          <w:w w:val="115"/>
          <w:sz w:val="20"/>
        </w:rPr>
        <w:t> </w:t>
      </w:r>
      <w:r>
        <w:rPr>
          <w:w w:val="115"/>
          <w:sz w:val="20"/>
        </w:rPr>
        <w:t>excepţia</w:t>
      </w:r>
      <w:r>
        <w:rPr>
          <w:spacing w:val="-9"/>
          <w:w w:val="115"/>
          <w:sz w:val="20"/>
        </w:rPr>
        <w:t> </w:t>
      </w:r>
      <w:r>
        <w:rPr>
          <w:w w:val="115"/>
          <w:sz w:val="20"/>
        </w:rPr>
        <w:t>încăperilor</w:t>
      </w:r>
      <w:r>
        <w:rPr>
          <w:spacing w:val="-10"/>
          <w:w w:val="115"/>
          <w:sz w:val="20"/>
        </w:rPr>
        <w:t> </w:t>
      </w:r>
      <w:r>
        <w:rPr>
          <w:w w:val="115"/>
          <w:sz w:val="20"/>
        </w:rPr>
        <w:t>folosite</w:t>
      </w:r>
      <w:r>
        <w:rPr>
          <w:spacing w:val="-9"/>
          <w:w w:val="115"/>
          <w:sz w:val="20"/>
        </w:rPr>
        <w:t> </w:t>
      </w:r>
      <w:r>
        <w:rPr>
          <w:w w:val="115"/>
          <w:sz w:val="20"/>
        </w:rPr>
        <w:t>pentru</w:t>
      </w:r>
      <w:r>
        <w:rPr>
          <w:spacing w:val="-9"/>
          <w:w w:val="115"/>
          <w:sz w:val="20"/>
        </w:rPr>
        <w:t> </w:t>
      </w:r>
      <w:r>
        <w:rPr>
          <w:w w:val="115"/>
          <w:sz w:val="20"/>
        </w:rPr>
        <w:t>activităţi</w:t>
      </w:r>
      <w:r>
        <w:rPr>
          <w:spacing w:val="-10"/>
          <w:w w:val="115"/>
          <w:sz w:val="20"/>
        </w:rPr>
        <w:t> </w:t>
      </w:r>
      <w:r>
        <w:rPr>
          <w:w w:val="115"/>
          <w:sz w:val="20"/>
        </w:rPr>
        <w:t>economice,</w:t>
      </w:r>
      <w:r>
        <w:rPr>
          <w:spacing w:val="-9"/>
          <w:w w:val="115"/>
          <w:sz w:val="20"/>
        </w:rPr>
        <w:t> </w:t>
      </w:r>
      <w:r>
        <w:rPr>
          <w:w w:val="115"/>
          <w:sz w:val="20"/>
        </w:rPr>
        <w:t>precum şi pentru clădirile în care funcţionează cabinete de medicină de familie, potrivit legii, cu excepţia încăperilor folosite pentru altă activitate decât cea de medicină de</w:t>
      </w:r>
      <w:r>
        <w:rPr>
          <w:spacing w:val="-27"/>
          <w:w w:val="115"/>
          <w:sz w:val="20"/>
        </w:rPr>
        <w:t> </w:t>
      </w:r>
      <w:r>
        <w:rPr>
          <w:w w:val="115"/>
          <w:sz w:val="20"/>
        </w:rPr>
        <w:t>familie;</w:t>
      </w:r>
    </w:p>
    <w:p>
      <w:pPr>
        <w:pStyle w:val="ListParagraph"/>
        <w:numPr>
          <w:ilvl w:val="0"/>
          <w:numId w:val="9"/>
        </w:numPr>
        <w:tabs>
          <w:tab w:pos="358" w:val="left" w:leader="none"/>
        </w:tabs>
        <w:spacing w:line="271" w:lineRule="auto" w:before="109" w:after="0"/>
        <w:ind w:left="108" w:right="118" w:firstLine="0"/>
        <w:jc w:val="both"/>
        <w:rPr>
          <w:rFonts w:ascii="Arial" w:hAnsi="Arial"/>
          <w:sz w:val="20"/>
        </w:rPr>
      </w:pPr>
      <w:r>
        <w:rPr>
          <w:w w:val="115"/>
          <w:sz w:val="20"/>
        </w:rPr>
        <w:t>clădirile din parcurile industriale, parcurile ştiinţifice şi tehnologice, precum şi cele utilizate de incubatoarele de afaceri, cu respectarea legislaţiei în materia ajutorului de</w:t>
      </w:r>
      <w:r>
        <w:rPr>
          <w:spacing w:val="-29"/>
          <w:w w:val="115"/>
          <w:sz w:val="20"/>
        </w:rPr>
        <w:t> </w:t>
      </w:r>
      <w:r>
        <w:rPr>
          <w:w w:val="115"/>
          <w:sz w:val="20"/>
        </w:rPr>
        <w:t>stat;</w:t>
      </w:r>
    </w:p>
    <w:p>
      <w:pPr>
        <w:pStyle w:val="ListParagraph"/>
        <w:numPr>
          <w:ilvl w:val="0"/>
          <w:numId w:val="9"/>
        </w:numPr>
        <w:tabs>
          <w:tab w:pos="300" w:val="left" w:leader="none"/>
        </w:tabs>
        <w:spacing w:line="271" w:lineRule="auto" w:before="108" w:after="0"/>
        <w:ind w:left="108" w:right="107" w:firstLine="0"/>
        <w:jc w:val="both"/>
        <w:rPr>
          <w:rFonts w:ascii="Arial" w:hAnsi="Arial"/>
          <w:sz w:val="20"/>
        </w:rPr>
      </w:pPr>
      <w:r>
        <w:rPr>
          <w:w w:val="115"/>
          <w:sz w:val="20"/>
        </w:rPr>
        <w:t>clădirile care sunt afectate activităţilor hidrotehnice, hidrometrice, hidrometeorologice, oceanografice, de</w:t>
      </w:r>
      <w:r>
        <w:rPr>
          <w:spacing w:val="-5"/>
          <w:w w:val="115"/>
          <w:sz w:val="20"/>
        </w:rPr>
        <w:t> </w:t>
      </w:r>
      <w:r>
        <w:rPr>
          <w:w w:val="115"/>
          <w:sz w:val="20"/>
        </w:rPr>
        <w:t>îmbunătăţiri</w:t>
      </w:r>
      <w:r>
        <w:rPr>
          <w:spacing w:val="-4"/>
          <w:w w:val="115"/>
          <w:sz w:val="20"/>
        </w:rPr>
        <w:t> </w:t>
      </w:r>
      <w:r>
        <w:rPr>
          <w:w w:val="115"/>
          <w:sz w:val="20"/>
        </w:rPr>
        <w:t>funciare</w:t>
      </w:r>
      <w:r>
        <w:rPr>
          <w:spacing w:val="-4"/>
          <w:w w:val="115"/>
          <w:sz w:val="20"/>
        </w:rPr>
        <w:t> </w:t>
      </w:r>
      <w:r>
        <w:rPr>
          <w:w w:val="115"/>
          <w:sz w:val="20"/>
        </w:rPr>
        <w:t>şi</w:t>
      </w:r>
      <w:r>
        <w:rPr>
          <w:spacing w:val="-5"/>
          <w:w w:val="115"/>
          <w:sz w:val="20"/>
        </w:rPr>
        <w:t> </w:t>
      </w:r>
      <w:r>
        <w:rPr>
          <w:w w:val="115"/>
          <w:sz w:val="20"/>
        </w:rPr>
        <w:t>de</w:t>
      </w:r>
      <w:r>
        <w:rPr>
          <w:spacing w:val="-4"/>
          <w:w w:val="115"/>
          <w:sz w:val="20"/>
        </w:rPr>
        <w:t> </w:t>
      </w:r>
      <w:r>
        <w:rPr>
          <w:w w:val="115"/>
          <w:sz w:val="20"/>
        </w:rPr>
        <w:t>intervenţii</w:t>
      </w:r>
      <w:r>
        <w:rPr>
          <w:spacing w:val="-4"/>
          <w:w w:val="115"/>
          <w:sz w:val="20"/>
        </w:rPr>
        <w:t> </w:t>
      </w:r>
      <w:r>
        <w:rPr>
          <w:w w:val="115"/>
          <w:sz w:val="20"/>
        </w:rPr>
        <w:t>la</w:t>
      </w:r>
      <w:r>
        <w:rPr>
          <w:spacing w:val="-5"/>
          <w:w w:val="115"/>
          <w:sz w:val="20"/>
        </w:rPr>
        <w:t> </w:t>
      </w:r>
      <w:r>
        <w:rPr>
          <w:w w:val="115"/>
          <w:sz w:val="20"/>
        </w:rPr>
        <w:t>apărarea</w:t>
      </w:r>
      <w:r>
        <w:rPr>
          <w:spacing w:val="-4"/>
          <w:w w:val="115"/>
          <w:sz w:val="20"/>
        </w:rPr>
        <w:t> </w:t>
      </w:r>
      <w:r>
        <w:rPr>
          <w:w w:val="115"/>
          <w:sz w:val="20"/>
        </w:rPr>
        <w:t>împotriva</w:t>
      </w:r>
      <w:r>
        <w:rPr>
          <w:spacing w:val="-4"/>
          <w:w w:val="115"/>
          <w:sz w:val="20"/>
        </w:rPr>
        <w:t> </w:t>
      </w:r>
      <w:r>
        <w:rPr>
          <w:w w:val="115"/>
          <w:sz w:val="20"/>
        </w:rPr>
        <w:t>inundaţiilor,</w:t>
      </w:r>
      <w:r>
        <w:rPr>
          <w:spacing w:val="-5"/>
          <w:w w:val="115"/>
          <w:sz w:val="20"/>
        </w:rPr>
        <w:t> </w:t>
      </w:r>
      <w:r>
        <w:rPr>
          <w:w w:val="115"/>
          <w:sz w:val="20"/>
        </w:rPr>
        <w:t>precum</w:t>
      </w:r>
      <w:r>
        <w:rPr>
          <w:spacing w:val="-3"/>
          <w:w w:val="115"/>
          <w:sz w:val="20"/>
        </w:rPr>
        <w:t> </w:t>
      </w:r>
      <w:r>
        <w:rPr>
          <w:w w:val="115"/>
          <w:sz w:val="20"/>
        </w:rPr>
        <w:t>şi</w:t>
      </w:r>
      <w:r>
        <w:rPr>
          <w:spacing w:val="-4"/>
          <w:w w:val="115"/>
          <w:sz w:val="20"/>
        </w:rPr>
        <w:t> </w:t>
      </w:r>
      <w:r>
        <w:rPr>
          <w:w w:val="115"/>
          <w:sz w:val="20"/>
        </w:rPr>
        <w:t>clădirile</w:t>
      </w:r>
      <w:r>
        <w:rPr>
          <w:spacing w:val="-3"/>
          <w:w w:val="115"/>
          <w:sz w:val="20"/>
        </w:rPr>
        <w:t> </w:t>
      </w:r>
      <w:r>
        <w:rPr>
          <w:w w:val="115"/>
          <w:sz w:val="20"/>
        </w:rPr>
        <w:t>din</w:t>
      </w:r>
      <w:r>
        <w:rPr>
          <w:spacing w:val="-3"/>
          <w:w w:val="115"/>
          <w:sz w:val="20"/>
        </w:rPr>
        <w:t> </w:t>
      </w:r>
      <w:r>
        <w:rPr>
          <w:w w:val="115"/>
          <w:sz w:val="20"/>
        </w:rPr>
        <w:t>porturi şi</w:t>
      </w:r>
      <w:r>
        <w:rPr>
          <w:spacing w:val="-11"/>
          <w:w w:val="115"/>
          <w:sz w:val="20"/>
        </w:rPr>
        <w:t> </w:t>
      </w:r>
      <w:r>
        <w:rPr>
          <w:w w:val="115"/>
          <w:sz w:val="20"/>
        </w:rPr>
        <w:t>cele</w:t>
      </w:r>
      <w:r>
        <w:rPr>
          <w:spacing w:val="-10"/>
          <w:w w:val="115"/>
          <w:sz w:val="20"/>
        </w:rPr>
        <w:t> </w:t>
      </w:r>
      <w:r>
        <w:rPr>
          <w:w w:val="115"/>
          <w:sz w:val="20"/>
        </w:rPr>
        <w:t>afectate</w:t>
      </w:r>
      <w:r>
        <w:rPr>
          <w:spacing w:val="-10"/>
          <w:w w:val="115"/>
          <w:sz w:val="20"/>
        </w:rPr>
        <w:t> </w:t>
      </w:r>
      <w:r>
        <w:rPr>
          <w:w w:val="115"/>
          <w:sz w:val="20"/>
        </w:rPr>
        <w:t>canalelor</w:t>
      </w:r>
      <w:r>
        <w:rPr>
          <w:spacing w:val="-11"/>
          <w:w w:val="115"/>
          <w:sz w:val="20"/>
        </w:rPr>
        <w:t> </w:t>
      </w:r>
      <w:r>
        <w:rPr>
          <w:w w:val="115"/>
          <w:sz w:val="20"/>
        </w:rPr>
        <w:t>navigabile</w:t>
      </w:r>
      <w:r>
        <w:rPr>
          <w:spacing w:val="-10"/>
          <w:w w:val="115"/>
          <w:sz w:val="20"/>
        </w:rPr>
        <w:t> </w:t>
      </w:r>
      <w:r>
        <w:rPr>
          <w:w w:val="115"/>
          <w:sz w:val="20"/>
        </w:rPr>
        <w:t>şi</w:t>
      </w:r>
      <w:r>
        <w:rPr>
          <w:spacing w:val="-10"/>
          <w:w w:val="115"/>
          <w:sz w:val="20"/>
        </w:rPr>
        <w:t> </w:t>
      </w:r>
      <w:r>
        <w:rPr>
          <w:w w:val="115"/>
          <w:sz w:val="20"/>
        </w:rPr>
        <w:t>staţiilor</w:t>
      </w:r>
      <w:r>
        <w:rPr>
          <w:spacing w:val="-10"/>
          <w:w w:val="115"/>
          <w:sz w:val="20"/>
        </w:rPr>
        <w:t> </w:t>
      </w:r>
      <w:r>
        <w:rPr>
          <w:w w:val="115"/>
          <w:sz w:val="20"/>
        </w:rPr>
        <w:t>de</w:t>
      </w:r>
      <w:r>
        <w:rPr>
          <w:spacing w:val="-11"/>
          <w:w w:val="115"/>
          <w:sz w:val="20"/>
        </w:rPr>
        <w:t> </w:t>
      </w:r>
      <w:r>
        <w:rPr>
          <w:w w:val="115"/>
          <w:sz w:val="20"/>
        </w:rPr>
        <w:t>pompare</w:t>
      </w:r>
      <w:r>
        <w:rPr>
          <w:spacing w:val="-10"/>
          <w:w w:val="115"/>
          <w:sz w:val="20"/>
        </w:rPr>
        <w:t> </w:t>
      </w:r>
      <w:r>
        <w:rPr>
          <w:w w:val="115"/>
          <w:sz w:val="20"/>
        </w:rPr>
        <w:t>aferente</w:t>
      </w:r>
      <w:r>
        <w:rPr>
          <w:spacing w:val="-10"/>
          <w:w w:val="115"/>
          <w:sz w:val="20"/>
        </w:rPr>
        <w:t> </w:t>
      </w:r>
      <w:r>
        <w:rPr>
          <w:w w:val="115"/>
          <w:sz w:val="20"/>
        </w:rPr>
        <w:t>canalelor,</w:t>
      </w:r>
      <w:r>
        <w:rPr>
          <w:spacing w:val="-10"/>
          <w:w w:val="115"/>
          <w:sz w:val="20"/>
        </w:rPr>
        <w:t> </w:t>
      </w:r>
      <w:r>
        <w:rPr>
          <w:w w:val="115"/>
          <w:sz w:val="20"/>
        </w:rPr>
        <w:t>cu</w:t>
      </w:r>
      <w:r>
        <w:rPr>
          <w:spacing w:val="-11"/>
          <w:w w:val="115"/>
          <w:sz w:val="20"/>
        </w:rPr>
        <w:t> </w:t>
      </w:r>
      <w:r>
        <w:rPr>
          <w:w w:val="115"/>
          <w:sz w:val="20"/>
        </w:rPr>
        <w:t>excepţia</w:t>
      </w:r>
      <w:r>
        <w:rPr>
          <w:spacing w:val="-10"/>
          <w:w w:val="115"/>
          <w:sz w:val="20"/>
        </w:rPr>
        <w:t> </w:t>
      </w:r>
      <w:r>
        <w:rPr>
          <w:w w:val="115"/>
          <w:sz w:val="20"/>
        </w:rPr>
        <w:t>încăperilor</w:t>
      </w:r>
      <w:r>
        <w:rPr>
          <w:spacing w:val="-10"/>
          <w:w w:val="115"/>
          <w:sz w:val="20"/>
        </w:rPr>
        <w:t> </w:t>
      </w:r>
      <w:r>
        <w:rPr>
          <w:w w:val="115"/>
          <w:sz w:val="20"/>
        </w:rPr>
        <w:t>care sunt folosite pentru activităţi</w:t>
      </w:r>
      <w:r>
        <w:rPr>
          <w:spacing w:val="-6"/>
          <w:w w:val="115"/>
          <w:sz w:val="20"/>
        </w:rPr>
        <w:t> </w:t>
      </w:r>
      <w:r>
        <w:rPr>
          <w:w w:val="115"/>
          <w:sz w:val="20"/>
        </w:rPr>
        <w:t>economice;</w:t>
      </w:r>
    </w:p>
    <w:p>
      <w:pPr>
        <w:pStyle w:val="ListParagraph"/>
        <w:numPr>
          <w:ilvl w:val="0"/>
          <w:numId w:val="9"/>
        </w:numPr>
        <w:tabs>
          <w:tab w:pos="349" w:val="left" w:leader="none"/>
        </w:tabs>
        <w:spacing w:line="271" w:lineRule="auto" w:before="110" w:after="0"/>
        <w:ind w:left="108" w:right="107" w:firstLine="0"/>
        <w:jc w:val="both"/>
        <w:rPr>
          <w:rFonts w:ascii="Arial" w:hAnsi="Arial"/>
          <w:sz w:val="20"/>
        </w:rPr>
      </w:pPr>
      <w:r>
        <w:rPr>
          <w:w w:val="115"/>
          <w:sz w:val="20"/>
        </w:rPr>
        <w:t>clădirile care, prin natura lor, fac corp comun cu poduri, viaducte, apeducte, diguri, baraje şi tuneluri şi care</w:t>
      </w:r>
      <w:r>
        <w:rPr>
          <w:spacing w:val="-9"/>
          <w:w w:val="115"/>
          <w:sz w:val="20"/>
        </w:rPr>
        <w:t> </w:t>
      </w:r>
      <w:r>
        <w:rPr>
          <w:w w:val="115"/>
          <w:sz w:val="20"/>
        </w:rPr>
        <w:t>sunt</w:t>
      </w:r>
      <w:r>
        <w:rPr>
          <w:spacing w:val="-9"/>
          <w:w w:val="115"/>
          <w:sz w:val="20"/>
        </w:rPr>
        <w:t> </w:t>
      </w:r>
      <w:r>
        <w:rPr>
          <w:w w:val="115"/>
          <w:sz w:val="20"/>
        </w:rPr>
        <w:t>utilizate</w:t>
      </w:r>
      <w:r>
        <w:rPr>
          <w:spacing w:val="-9"/>
          <w:w w:val="115"/>
          <w:sz w:val="20"/>
        </w:rPr>
        <w:t> </w:t>
      </w:r>
      <w:r>
        <w:rPr>
          <w:w w:val="115"/>
          <w:sz w:val="20"/>
        </w:rPr>
        <w:t>pentru</w:t>
      </w:r>
      <w:r>
        <w:rPr>
          <w:spacing w:val="-9"/>
          <w:w w:val="115"/>
          <w:sz w:val="20"/>
        </w:rPr>
        <w:t> </w:t>
      </w:r>
      <w:r>
        <w:rPr>
          <w:w w:val="115"/>
          <w:sz w:val="20"/>
        </w:rPr>
        <w:t>exploatarea</w:t>
      </w:r>
      <w:r>
        <w:rPr>
          <w:spacing w:val="-9"/>
          <w:w w:val="115"/>
          <w:sz w:val="20"/>
        </w:rPr>
        <w:t> </w:t>
      </w:r>
      <w:r>
        <w:rPr>
          <w:w w:val="115"/>
          <w:sz w:val="20"/>
        </w:rPr>
        <w:t>acestor</w:t>
      </w:r>
      <w:r>
        <w:rPr>
          <w:spacing w:val="-9"/>
          <w:w w:val="115"/>
          <w:sz w:val="20"/>
        </w:rPr>
        <w:t> </w:t>
      </w:r>
      <w:r>
        <w:rPr>
          <w:w w:val="115"/>
          <w:sz w:val="20"/>
        </w:rPr>
        <w:t>construcţii,</w:t>
      </w:r>
      <w:r>
        <w:rPr>
          <w:spacing w:val="-9"/>
          <w:w w:val="115"/>
          <w:sz w:val="20"/>
        </w:rPr>
        <w:t> </w:t>
      </w:r>
      <w:r>
        <w:rPr>
          <w:w w:val="115"/>
          <w:sz w:val="20"/>
        </w:rPr>
        <w:t>cu</w:t>
      </w:r>
      <w:r>
        <w:rPr>
          <w:spacing w:val="-9"/>
          <w:w w:val="115"/>
          <w:sz w:val="20"/>
        </w:rPr>
        <w:t> </w:t>
      </w:r>
      <w:r>
        <w:rPr>
          <w:w w:val="115"/>
          <w:sz w:val="20"/>
        </w:rPr>
        <w:t>excepţia</w:t>
      </w:r>
      <w:r>
        <w:rPr>
          <w:spacing w:val="-9"/>
          <w:w w:val="115"/>
          <w:sz w:val="20"/>
        </w:rPr>
        <w:t> </w:t>
      </w:r>
      <w:r>
        <w:rPr>
          <w:w w:val="115"/>
          <w:sz w:val="20"/>
        </w:rPr>
        <w:t>încăperilor</w:t>
      </w:r>
      <w:r>
        <w:rPr>
          <w:spacing w:val="-9"/>
          <w:w w:val="115"/>
          <w:sz w:val="20"/>
        </w:rPr>
        <w:t> </w:t>
      </w:r>
      <w:r>
        <w:rPr>
          <w:w w:val="115"/>
          <w:sz w:val="20"/>
        </w:rPr>
        <w:t>care</w:t>
      </w:r>
      <w:r>
        <w:rPr>
          <w:spacing w:val="-8"/>
          <w:w w:val="115"/>
          <w:sz w:val="20"/>
        </w:rPr>
        <w:t> </w:t>
      </w:r>
      <w:r>
        <w:rPr>
          <w:w w:val="115"/>
          <w:sz w:val="20"/>
        </w:rPr>
        <w:t>sunt</w:t>
      </w:r>
      <w:r>
        <w:rPr>
          <w:spacing w:val="-9"/>
          <w:w w:val="115"/>
          <w:sz w:val="20"/>
        </w:rPr>
        <w:t> </w:t>
      </w:r>
      <w:r>
        <w:rPr>
          <w:w w:val="115"/>
          <w:sz w:val="20"/>
        </w:rPr>
        <w:t>folosite</w:t>
      </w:r>
      <w:r>
        <w:rPr>
          <w:spacing w:val="-9"/>
          <w:w w:val="115"/>
          <w:sz w:val="20"/>
        </w:rPr>
        <w:t> </w:t>
      </w:r>
      <w:r>
        <w:rPr>
          <w:w w:val="115"/>
          <w:sz w:val="20"/>
        </w:rPr>
        <w:t>pentru alte activităţi</w:t>
      </w:r>
      <w:r>
        <w:rPr>
          <w:spacing w:val="-3"/>
          <w:w w:val="115"/>
          <w:sz w:val="20"/>
        </w:rPr>
        <w:t> </w:t>
      </w:r>
      <w:r>
        <w:rPr>
          <w:w w:val="115"/>
          <w:sz w:val="20"/>
        </w:rPr>
        <w:t>economice;</w:t>
      </w:r>
    </w:p>
    <w:p>
      <w:pPr>
        <w:spacing w:after="0" w:line="271" w:lineRule="auto"/>
        <w:jc w:val="both"/>
        <w:rPr>
          <w:rFonts w:ascii="Arial" w:hAnsi="Arial"/>
          <w:sz w:val="20"/>
        </w:rPr>
        <w:sectPr>
          <w:pgSz w:w="11900" w:h="16840"/>
          <w:pgMar w:header="0" w:footer="341" w:top="500" w:bottom="560" w:left="1140" w:right="740"/>
        </w:sectPr>
      </w:pPr>
    </w:p>
    <w:p>
      <w:pPr>
        <w:pStyle w:val="ListParagraph"/>
        <w:numPr>
          <w:ilvl w:val="0"/>
          <w:numId w:val="9"/>
        </w:numPr>
        <w:tabs>
          <w:tab w:pos="283" w:val="left" w:leader="none"/>
        </w:tabs>
        <w:spacing w:line="240" w:lineRule="auto" w:before="100" w:after="0"/>
        <w:ind w:left="282" w:right="0" w:hanging="174"/>
        <w:jc w:val="both"/>
        <w:rPr>
          <w:rFonts w:ascii="Arial" w:hAnsi="Arial"/>
          <w:sz w:val="20"/>
        </w:rPr>
      </w:pPr>
      <w:r>
        <w:rPr>
          <w:w w:val="115"/>
          <w:sz w:val="20"/>
        </w:rPr>
        <w:t>clădirile aferente infrastructurii feroviare publice sau infrastructurii</w:t>
      </w:r>
      <w:r>
        <w:rPr>
          <w:spacing w:val="-19"/>
          <w:w w:val="115"/>
          <w:sz w:val="20"/>
        </w:rPr>
        <w:t> </w:t>
      </w:r>
      <w:r>
        <w:rPr>
          <w:w w:val="115"/>
          <w:sz w:val="20"/>
        </w:rPr>
        <w:t>metroului;</w:t>
      </w:r>
    </w:p>
    <w:p>
      <w:pPr>
        <w:pStyle w:val="ListParagraph"/>
        <w:numPr>
          <w:ilvl w:val="0"/>
          <w:numId w:val="9"/>
        </w:numPr>
        <w:tabs>
          <w:tab w:pos="454" w:val="left" w:leader="none"/>
        </w:tabs>
        <w:spacing w:line="271" w:lineRule="auto" w:before="140" w:after="0"/>
        <w:ind w:left="108" w:right="110" w:firstLine="0"/>
        <w:jc w:val="both"/>
        <w:rPr>
          <w:rFonts w:ascii="Arial" w:hAnsi="Arial"/>
          <w:sz w:val="20"/>
        </w:rPr>
      </w:pPr>
      <w:r>
        <w:rPr>
          <w:w w:val="115"/>
          <w:sz w:val="20"/>
        </w:rPr>
        <w:t>clădirile Academiei Române şi ale fundaţiilor proprii înfiinţate de Academia Română, în calitate de fondator unic, cu excepţia încăperilor care sunt folosite pentru activităţi</w:t>
      </w:r>
      <w:r>
        <w:rPr>
          <w:spacing w:val="-35"/>
          <w:w w:val="115"/>
          <w:sz w:val="20"/>
        </w:rPr>
        <w:t> </w:t>
      </w:r>
      <w:r>
        <w:rPr>
          <w:w w:val="115"/>
          <w:sz w:val="20"/>
        </w:rPr>
        <w:t>economice;</w:t>
      </w:r>
    </w:p>
    <w:p>
      <w:pPr>
        <w:pStyle w:val="ListParagraph"/>
        <w:numPr>
          <w:ilvl w:val="0"/>
          <w:numId w:val="9"/>
        </w:numPr>
        <w:tabs>
          <w:tab w:pos="399" w:val="left" w:leader="none"/>
        </w:tabs>
        <w:spacing w:line="271" w:lineRule="auto" w:before="108" w:after="0"/>
        <w:ind w:left="108" w:right="119" w:firstLine="0"/>
        <w:jc w:val="both"/>
        <w:rPr>
          <w:rFonts w:ascii="Arial" w:hAnsi="Arial"/>
          <w:sz w:val="20"/>
        </w:rPr>
      </w:pPr>
      <w:r>
        <w:rPr>
          <w:w w:val="115"/>
          <w:sz w:val="20"/>
        </w:rPr>
        <w:t>clădirile aferente capacităţilor de producţie care sunt în sectorul pentru apărare cu respectarea legislaţiei în materia ajutorului de</w:t>
      </w:r>
      <w:r>
        <w:rPr>
          <w:spacing w:val="-7"/>
          <w:w w:val="115"/>
          <w:sz w:val="20"/>
        </w:rPr>
        <w:t> </w:t>
      </w:r>
      <w:r>
        <w:rPr>
          <w:w w:val="115"/>
          <w:sz w:val="20"/>
        </w:rPr>
        <w:t>stat;</w:t>
      </w:r>
    </w:p>
    <w:p>
      <w:pPr>
        <w:pStyle w:val="ListParagraph"/>
        <w:numPr>
          <w:ilvl w:val="0"/>
          <w:numId w:val="9"/>
        </w:numPr>
        <w:tabs>
          <w:tab w:pos="365" w:val="left" w:leader="none"/>
        </w:tabs>
        <w:spacing w:line="271" w:lineRule="auto" w:before="109" w:after="0"/>
        <w:ind w:left="108" w:right="109" w:firstLine="0"/>
        <w:jc w:val="both"/>
        <w:rPr>
          <w:rFonts w:ascii="Arial" w:hAnsi="Arial"/>
          <w:sz w:val="20"/>
        </w:rPr>
      </w:pPr>
      <w:r>
        <w:rPr>
          <w:w w:val="115"/>
          <w:sz w:val="20"/>
        </w:rPr>
        <w:t>clădirile care sunt utilizate ca sere, solare, răsadniţe, ciupercării, silozuri pentru furaje, silozuri şi/sau pătule</w:t>
      </w:r>
      <w:r>
        <w:rPr>
          <w:spacing w:val="-5"/>
          <w:w w:val="115"/>
          <w:sz w:val="20"/>
        </w:rPr>
        <w:t> </w:t>
      </w:r>
      <w:r>
        <w:rPr>
          <w:w w:val="115"/>
          <w:sz w:val="20"/>
        </w:rPr>
        <w:t>pentru</w:t>
      </w:r>
      <w:r>
        <w:rPr>
          <w:spacing w:val="-4"/>
          <w:w w:val="115"/>
          <w:sz w:val="20"/>
        </w:rPr>
        <w:t> </w:t>
      </w:r>
      <w:r>
        <w:rPr>
          <w:w w:val="115"/>
          <w:sz w:val="20"/>
        </w:rPr>
        <w:t>depozitarea</w:t>
      </w:r>
      <w:r>
        <w:rPr>
          <w:spacing w:val="-5"/>
          <w:w w:val="115"/>
          <w:sz w:val="20"/>
        </w:rPr>
        <w:t> </w:t>
      </w:r>
      <w:r>
        <w:rPr>
          <w:w w:val="115"/>
          <w:sz w:val="20"/>
        </w:rPr>
        <w:t>şi</w:t>
      </w:r>
      <w:r>
        <w:rPr>
          <w:spacing w:val="-4"/>
          <w:w w:val="115"/>
          <w:sz w:val="20"/>
        </w:rPr>
        <w:t> </w:t>
      </w:r>
      <w:r>
        <w:rPr>
          <w:w w:val="115"/>
          <w:sz w:val="20"/>
        </w:rPr>
        <w:t>conservarea</w:t>
      </w:r>
      <w:r>
        <w:rPr>
          <w:spacing w:val="-4"/>
          <w:w w:val="115"/>
          <w:sz w:val="20"/>
        </w:rPr>
        <w:t> </w:t>
      </w:r>
      <w:r>
        <w:rPr>
          <w:w w:val="115"/>
          <w:sz w:val="20"/>
        </w:rPr>
        <w:t>cerealelor,</w:t>
      </w:r>
      <w:r>
        <w:rPr>
          <w:spacing w:val="-5"/>
          <w:w w:val="115"/>
          <w:sz w:val="20"/>
        </w:rPr>
        <w:t> </w:t>
      </w:r>
      <w:r>
        <w:rPr>
          <w:w w:val="115"/>
          <w:sz w:val="20"/>
        </w:rPr>
        <w:t>cu</w:t>
      </w:r>
      <w:r>
        <w:rPr>
          <w:spacing w:val="-4"/>
          <w:w w:val="115"/>
          <w:sz w:val="20"/>
        </w:rPr>
        <w:t> </w:t>
      </w:r>
      <w:r>
        <w:rPr>
          <w:w w:val="115"/>
          <w:sz w:val="20"/>
        </w:rPr>
        <w:t>excepţia</w:t>
      </w:r>
      <w:r>
        <w:rPr>
          <w:spacing w:val="-5"/>
          <w:w w:val="115"/>
          <w:sz w:val="20"/>
        </w:rPr>
        <w:t> </w:t>
      </w:r>
      <w:r>
        <w:rPr>
          <w:w w:val="115"/>
          <w:sz w:val="20"/>
        </w:rPr>
        <w:t>încăperilor</w:t>
      </w:r>
      <w:r>
        <w:rPr>
          <w:spacing w:val="-4"/>
          <w:w w:val="115"/>
          <w:sz w:val="20"/>
        </w:rPr>
        <w:t> </w:t>
      </w:r>
      <w:r>
        <w:rPr>
          <w:w w:val="115"/>
          <w:sz w:val="20"/>
        </w:rPr>
        <w:t>care</w:t>
      </w:r>
      <w:r>
        <w:rPr>
          <w:spacing w:val="-4"/>
          <w:w w:val="115"/>
          <w:sz w:val="20"/>
        </w:rPr>
        <w:t> </w:t>
      </w:r>
      <w:r>
        <w:rPr>
          <w:w w:val="115"/>
          <w:sz w:val="20"/>
        </w:rPr>
        <w:t>sunt</w:t>
      </w:r>
      <w:r>
        <w:rPr>
          <w:spacing w:val="-5"/>
          <w:w w:val="115"/>
          <w:sz w:val="20"/>
        </w:rPr>
        <w:t> </w:t>
      </w:r>
      <w:r>
        <w:rPr>
          <w:w w:val="115"/>
          <w:sz w:val="20"/>
        </w:rPr>
        <w:t>folosite</w:t>
      </w:r>
      <w:r>
        <w:rPr>
          <w:spacing w:val="-4"/>
          <w:w w:val="115"/>
          <w:sz w:val="20"/>
        </w:rPr>
        <w:t> </w:t>
      </w:r>
      <w:r>
        <w:rPr>
          <w:w w:val="115"/>
          <w:sz w:val="20"/>
        </w:rPr>
        <w:t>pentru</w:t>
      </w:r>
      <w:r>
        <w:rPr>
          <w:spacing w:val="-5"/>
          <w:w w:val="115"/>
          <w:sz w:val="20"/>
        </w:rPr>
        <w:t> </w:t>
      </w:r>
      <w:r>
        <w:rPr>
          <w:w w:val="115"/>
          <w:sz w:val="20"/>
        </w:rPr>
        <w:t>alte activităţi</w:t>
      </w:r>
      <w:r>
        <w:rPr>
          <w:spacing w:val="-2"/>
          <w:w w:val="115"/>
          <w:sz w:val="20"/>
        </w:rPr>
        <w:t> </w:t>
      </w:r>
      <w:r>
        <w:rPr>
          <w:w w:val="115"/>
          <w:sz w:val="20"/>
        </w:rPr>
        <w:t>economice;</w:t>
      </w:r>
    </w:p>
    <w:p>
      <w:pPr>
        <w:pStyle w:val="ListParagraph"/>
        <w:numPr>
          <w:ilvl w:val="0"/>
          <w:numId w:val="9"/>
        </w:numPr>
        <w:tabs>
          <w:tab w:pos="354" w:val="left" w:leader="none"/>
        </w:tabs>
        <w:spacing w:line="271" w:lineRule="auto" w:before="109" w:after="0"/>
        <w:ind w:left="108" w:right="108" w:firstLine="0"/>
        <w:jc w:val="both"/>
        <w:rPr>
          <w:rFonts w:ascii="Arial" w:hAnsi="Arial"/>
          <w:sz w:val="20"/>
        </w:rPr>
      </w:pPr>
      <w:r>
        <w:rPr>
          <w:w w:val="115"/>
          <w:sz w:val="20"/>
        </w:rPr>
        <w:t>clădirea folosită ca domiciliu aflată în proprietatea sau coproprietatea persoanelor prevăzute la art. 2 lit. c) - f) şi j) din</w:t>
      </w:r>
      <w:r>
        <w:rPr>
          <w:color w:val="3DA7F6"/>
          <w:w w:val="115"/>
          <w:sz w:val="20"/>
        </w:rPr>
        <w:t> </w:t>
      </w:r>
      <w:r>
        <w:rPr>
          <w:color w:val="3DA7F6"/>
          <w:w w:val="115"/>
          <w:sz w:val="20"/>
          <w:u w:val="single" w:color="3DA7F6"/>
        </w:rPr>
        <w:t>Legea nr. 168/2020</w:t>
      </w:r>
      <w:r>
        <w:rPr>
          <w:color w:val="3DA7F6"/>
          <w:w w:val="115"/>
          <w:sz w:val="20"/>
        </w:rPr>
        <w:t> </w:t>
      </w:r>
      <w:r>
        <w:rPr>
          <w:w w:val="115"/>
          <w:sz w:val="20"/>
        </w:rPr>
        <w:t>pentru recunoaşterea meritelor personalului participant la acţiuni militare, misiuni şi operaţii pe teritoriul sau în afara teritoriului statului român şi acordarea unor drepturi acestuia, familiei acestuia şi urmaşilor celui decedat;</w:t>
      </w:r>
      <w:r>
        <w:rPr>
          <w:spacing w:val="28"/>
          <w:w w:val="115"/>
          <w:sz w:val="20"/>
        </w:rPr>
        <w:t> </w:t>
      </w:r>
      <w:r>
        <w:rPr>
          <w:w w:val="115"/>
          <w:sz w:val="20"/>
        </w:rPr>
        <w:t>;</w:t>
      </w:r>
    </w:p>
    <w:p>
      <w:pPr>
        <w:pStyle w:val="ListParagraph"/>
        <w:numPr>
          <w:ilvl w:val="0"/>
          <w:numId w:val="9"/>
        </w:numPr>
        <w:tabs>
          <w:tab w:pos="401" w:val="left" w:leader="none"/>
        </w:tabs>
        <w:spacing w:line="271" w:lineRule="auto" w:before="109" w:after="0"/>
        <w:ind w:left="108" w:right="112" w:firstLine="0"/>
        <w:jc w:val="both"/>
        <w:rPr>
          <w:rFonts w:ascii="Arial" w:hAnsi="Arial"/>
          <w:sz w:val="20"/>
        </w:rPr>
      </w:pPr>
      <w:r>
        <w:rPr>
          <w:w w:val="115"/>
          <w:sz w:val="20"/>
        </w:rPr>
        <w:t>clădirile aflate în domeniul public al statului şi în administrarea Regiei Autonome "Administraţia Patrimoniului</w:t>
      </w:r>
      <w:r>
        <w:rPr>
          <w:spacing w:val="-13"/>
          <w:w w:val="115"/>
          <w:sz w:val="20"/>
        </w:rPr>
        <w:t> </w:t>
      </w:r>
      <w:r>
        <w:rPr>
          <w:w w:val="115"/>
          <w:sz w:val="20"/>
        </w:rPr>
        <w:t>Protocolului</w:t>
      </w:r>
      <w:r>
        <w:rPr>
          <w:spacing w:val="-13"/>
          <w:w w:val="115"/>
          <w:sz w:val="20"/>
        </w:rPr>
        <w:t> </w:t>
      </w:r>
      <w:r>
        <w:rPr>
          <w:w w:val="115"/>
          <w:sz w:val="20"/>
        </w:rPr>
        <w:t>de</w:t>
      </w:r>
      <w:r>
        <w:rPr>
          <w:spacing w:val="-13"/>
          <w:w w:val="115"/>
          <w:sz w:val="20"/>
        </w:rPr>
        <w:t> </w:t>
      </w:r>
      <w:r>
        <w:rPr>
          <w:w w:val="115"/>
          <w:sz w:val="20"/>
        </w:rPr>
        <w:t>Stat",</w:t>
      </w:r>
      <w:r>
        <w:rPr>
          <w:spacing w:val="-13"/>
          <w:w w:val="115"/>
          <w:sz w:val="20"/>
        </w:rPr>
        <w:t> </w:t>
      </w:r>
      <w:r>
        <w:rPr>
          <w:w w:val="115"/>
          <w:sz w:val="20"/>
        </w:rPr>
        <w:t>cu</w:t>
      </w:r>
      <w:r>
        <w:rPr>
          <w:spacing w:val="-13"/>
          <w:w w:val="115"/>
          <w:sz w:val="20"/>
        </w:rPr>
        <w:t> </w:t>
      </w:r>
      <w:r>
        <w:rPr>
          <w:w w:val="115"/>
          <w:sz w:val="20"/>
        </w:rPr>
        <w:t>excepţia</w:t>
      </w:r>
      <w:r>
        <w:rPr>
          <w:spacing w:val="-13"/>
          <w:w w:val="115"/>
          <w:sz w:val="20"/>
        </w:rPr>
        <w:t> </w:t>
      </w:r>
      <w:r>
        <w:rPr>
          <w:w w:val="115"/>
          <w:sz w:val="20"/>
        </w:rPr>
        <w:t>încăperilor</w:t>
      </w:r>
      <w:r>
        <w:rPr>
          <w:spacing w:val="-13"/>
          <w:w w:val="115"/>
          <w:sz w:val="20"/>
        </w:rPr>
        <w:t> </w:t>
      </w:r>
      <w:r>
        <w:rPr>
          <w:w w:val="115"/>
          <w:sz w:val="20"/>
        </w:rPr>
        <w:t>care</w:t>
      </w:r>
      <w:r>
        <w:rPr>
          <w:spacing w:val="-13"/>
          <w:w w:val="115"/>
          <w:sz w:val="20"/>
        </w:rPr>
        <w:t> </w:t>
      </w:r>
      <w:r>
        <w:rPr>
          <w:w w:val="115"/>
          <w:sz w:val="20"/>
        </w:rPr>
        <w:t>sunt</w:t>
      </w:r>
      <w:r>
        <w:rPr>
          <w:spacing w:val="-13"/>
          <w:w w:val="115"/>
          <w:sz w:val="20"/>
        </w:rPr>
        <w:t> </w:t>
      </w:r>
      <w:r>
        <w:rPr>
          <w:w w:val="115"/>
          <w:sz w:val="20"/>
        </w:rPr>
        <w:t>folosite</w:t>
      </w:r>
      <w:r>
        <w:rPr>
          <w:spacing w:val="-13"/>
          <w:w w:val="115"/>
          <w:sz w:val="20"/>
        </w:rPr>
        <w:t> </w:t>
      </w:r>
      <w:r>
        <w:rPr>
          <w:w w:val="115"/>
          <w:sz w:val="20"/>
        </w:rPr>
        <w:t>pentru</w:t>
      </w:r>
      <w:r>
        <w:rPr>
          <w:spacing w:val="-13"/>
          <w:w w:val="115"/>
          <w:sz w:val="20"/>
        </w:rPr>
        <w:t> </w:t>
      </w:r>
      <w:r>
        <w:rPr>
          <w:w w:val="115"/>
          <w:sz w:val="20"/>
        </w:rPr>
        <w:t>activităţi</w:t>
      </w:r>
      <w:r>
        <w:rPr>
          <w:spacing w:val="-12"/>
          <w:w w:val="115"/>
          <w:sz w:val="20"/>
        </w:rPr>
        <w:t> </w:t>
      </w:r>
      <w:r>
        <w:rPr>
          <w:w w:val="115"/>
          <w:sz w:val="20"/>
        </w:rPr>
        <w:t>economice;</w:t>
      </w:r>
    </w:p>
    <w:p>
      <w:pPr>
        <w:pStyle w:val="ListParagraph"/>
        <w:numPr>
          <w:ilvl w:val="0"/>
          <w:numId w:val="9"/>
        </w:numPr>
        <w:tabs>
          <w:tab w:pos="354" w:val="left" w:leader="none"/>
        </w:tabs>
        <w:spacing w:line="271" w:lineRule="auto" w:before="109" w:after="0"/>
        <w:ind w:left="108" w:right="113" w:firstLine="0"/>
        <w:jc w:val="both"/>
        <w:rPr>
          <w:rFonts w:ascii="Arial" w:hAnsi="Arial"/>
          <w:sz w:val="20"/>
        </w:rPr>
      </w:pPr>
      <w:r>
        <w:rPr>
          <w:w w:val="115"/>
          <w:sz w:val="20"/>
        </w:rPr>
        <w:t>clădirile aflate în proprietatea sau coproprietatea veteranilor de război, a văduvelor de război şi a văduvelor nerecăsătorite ale veteranilor de</w:t>
      </w:r>
      <w:r>
        <w:rPr>
          <w:spacing w:val="-8"/>
          <w:w w:val="115"/>
          <w:sz w:val="20"/>
        </w:rPr>
        <w:t> </w:t>
      </w:r>
      <w:r>
        <w:rPr>
          <w:w w:val="115"/>
          <w:sz w:val="20"/>
        </w:rPr>
        <w:t>război;</w:t>
      </w:r>
    </w:p>
    <w:p>
      <w:pPr>
        <w:pStyle w:val="ListParagraph"/>
        <w:numPr>
          <w:ilvl w:val="0"/>
          <w:numId w:val="9"/>
        </w:numPr>
        <w:tabs>
          <w:tab w:pos="316" w:val="left" w:leader="none"/>
        </w:tabs>
        <w:spacing w:line="271" w:lineRule="auto" w:before="108" w:after="0"/>
        <w:ind w:left="108" w:right="111" w:firstLine="0"/>
        <w:jc w:val="both"/>
        <w:rPr>
          <w:sz w:val="20"/>
        </w:rPr>
      </w:pPr>
      <w:r>
        <w:rPr>
          <w:w w:val="115"/>
          <w:sz w:val="20"/>
        </w:rPr>
        <w:t>clădirea</w:t>
      </w:r>
      <w:r>
        <w:rPr>
          <w:spacing w:val="-7"/>
          <w:w w:val="115"/>
          <w:sz w:val="20"/>
        </w:rPr>
        <w:t> </w:t>
      </w:r>
      <w:r>
        <w:rPr>
          <w:w w:val="115"/>
          <w:sz w:val="20"/>
        </w:rPr>
        <w:t>folosită</w:t>
      </w:r>
      <w:r>
        <w:rPr>
          <w:spacing w:val="-7"/>
          <w:w w:val="115"/>
          <w:sz w:val="20"/>
        </w:rPr>
        <w:t> </w:t>
      </w:r>
      <w:r>
        <w:rPr>
          <w:w w:val="115"/>
          <w:sz w:val="20"/>
        </w:rPr>
        <w:t>ca</w:t>
      </w:r>
      <w:r>
        <w:rPr>
          <w:spacing w:val="-6"/>
          <w:w w:val="115"/>
          <w:sz w:val="20"/>
        </w:rPr>
        <w:t> </w:t>
      </w:r>
      <w:r>
        <w:rPr>
          <w:w w:val="115"/>
          <w:sz w:val="20"/>
        </w:rPr>
        <w:t>domiciliu</w:t>
      </w:r>
      <w:r>
        <w:rPr>
          <w:spacing w:val="-7"/>
          <w:w w:val="115"/>
          <w:sz w:val="20"/>
        </w:rPr>
        <w:t> </w:t>
      </w:r>
      <w:r>
        <w:rPr>
          <w:w w:val="115"/>
          <w:sz w:val="20"/>
        </w:rPr>
        <w:t>aflată</w:t>
      </w:r>
      <w:r>
        <w:rPr>
          <w:spacing w:val="-7"/>
          <w:w w:val="115"/>
          <w:sz w:val="20"/>
        </w:rPr>
        <w:t> </w:t>
      </w:r>
      <w:r>
        <w:rPr>
          <w:w w:val="115"/>
          <w:sz w:val="20"/>
        </w:rPr>
        <w:t>în</w:t>
      </w:r>
      <w:r>
        <w:rPr>
          <w:spacing w:val="-6"/>
          <w:w w:val="115"/>
          <w:sz w:val="20"/>
        </w:rPr>
        <w:t> </w:t>
      </w:r>
      <w:r>
        <w:rPr>
          <w:w w:val="115"/>
          <w:sz w:val="20"/>
        </w:rPr>
        <w:t>proprietatea</w:t>
      </w:r>
      <w:r>
        <w:rPr>
          <w:spacing w:val="-7"/>
          <w:w w:val="115"/>
          <w:sz w:val="20"/>
        </w:rPr>
        <w:t> </w:t>
      </w:r>
      <w:r>
        <w:rPr>
          <w:w w:val="115"/>
          <w:sz w:val="20"/>
        </w:rPr>
        <w:t>sau</w:t>
      </w:r>
      <w:r>
        <w:rPr>
          <w:spacing w:val="-7"/>
          <w:w w:val="115"/>
          <w:sz w:val="20"/>
        </w:rPr>
        <w:t> </w:t>
      </w:r>
      <w:r>
        <w:rPr>
          <w:w w:val="115"/>
          <w:sz w:val="20"/>
        </w:rPr>
        <w:t>coproprietatea</w:t>
      </w:r>
      <w:r>
        <w:rPr>
          <w:spacing w:val="-6"/>
          <w:w w:val="115"/>
          <w:sz w:val="20"/>
        </w:rPr>
        <w:t> </w:t>
      </w:r>
      <w:r>
        <w:rPr>
          <w:w w:val="115"/>
          <w:sz w:val="20"/>
        </w:rPr>
        <w:t>persoanelor</w:t>
      </w:r>
      <w:r>
        <w:rPr>
          <w:spacing w:val="-7"/>
          <w:w w:val="115"/>
          <w:sz w:val="20"/>
        </w:rPr>
        <w:t> </w:t>
      </w:r>
      <w:r>
        <w:rPr>
          <w:w w:val="115"/>
          <w:sz w:val="20"/>
        </w:rPr>
        <w:t>prevăzute</w:t>
      </w:r>
      <w:r>
        <w:rPr>
          <w:spacing w:val="-6"/>
          <w:w w:val="115"/>
          <w:sz w:val="20"/>
        </w:rPr>
        <w:t> </w:t>
      </w:r>
      <w:r>
        <w:rPr>
          <w:w w:val="115"/>
          <w:sz w:val="20"/>
        </w:rPr>
        <w:t>la</w:t>
      </w:r>
      <w:r>
        <w:rPr>
          <w:spacing w:val="-7"/>
          <w:w w:val="115"/>
          <w:sz w:val="20"/>
        </w:rPr>
        <w:t> </w:t>
      </w:r>
      <w:r>
        <w:rPr>
          <w:w w:val="115"/>
          <w:sz w:val="20"/>
        </w:rPr>
        <w:t>art.</w:t>
      </w:r>
      <w:r>
        <w:rPr>
          <w:spacing w:val="-7"/>
          <w:w w:val="115"/>
          <w:sz w:val="20"/>
        </w:rPr>
        <w:t> </w:t>
      </w:r>
      <w:r>
        <w:rPr>
          <w:w w:val="115"/>
          <w:sz w:val="20"/>
        </w:rPr>
        <w:t>1</w:t>
      </w:r>
      <w:r>
        <w:rPr>
          <w:spacing w:val="-6"/>
          <w:w w:val="115"/>
          <w:sz w:val="20"/>
        </w:rPr>
        <w:t> </w:t>
      </w:r>
      <w:r>
        <w:rPr>
          <w:w w:val="115"/>
          <w:sz w:val="20"/>
        </w:rPr>
        <w:t>şi art. 5 alin. (1) - (3) din</w:t>
      </w:r>
      <w:r>
        <w:rPr>
          <w:color w:val="3DA7F6"/>
          <w:w w:val="115"/>
          <w:sz w:val="20"/>
        </w:rPr>
        <w:t> </w:t>
      </w:r>
      <w:r>
        <w:rPr>
          <w:color w:val="3DA7F6"/>
          <w:w w:val="115"/>
          <w:sz w:val="20"/>
          <w:u w:val="single" w:color="3DA7F6"/>
        </w:rPr>
        <w:t>Decretul - lege nr. 118/1990</w:t>
      </w:r>
      <w:r>
        <w:rPr>
          <w:color w:val="3DA7F6"/>
          <w:w w:val="115"/>
          <w:sz w:val="20"/>
        </w:rPr>
        <w:t> </w:t>
      </w:r>
      <w:r>
        <w:rPr>
          <w:w w:val="115"/>
          <w:sz w:val="20"/>
        </w:rPr>
        <w:t>privind acordarea unor drepturi persoanelor persecutate din motive politice de dictatura instaurată cu începere de la 6 martie 1945, precum şi celor deportate în străinătate ori constituite în prizonieri, republicat, şi a persoanelor fizice prevăzute la art. 1 </w:t>
      </w:r>
      <w:r>
        <w:rPr>
          <w:spacing w:val="4"/>
          <w:w w:val="115"/>
          <w:sz w:val="20"/>
        </w:rPr>
        <w:t>din</w:t>
      </w:r>
      <w:r>
        <w:rPr>
          <w:color w:val="3DA7F6"/>
          <w:spacing w:val="4"/>
          <w:w w:val="115"/>
          <w:sz w:val="20"/>
        </w:rPr>
        <w:t> </w:t>
      </w:r>
      <w:r>
        <w:rPr>
          <w:color w:val="3DA7F6"/>
          <w:w w:val="115"/>
          <w:sz w:val="20"/>
          <w:u w:val="single" w:color="3DA7F6"/>
        </w:rPr>
        <w:t>Ordonanţa Guvernului nr. 105/1999</w:t>
      </w:r>
      <w:r>
        <w:rPr>
          <w:w w:val="115"/>
          <w:sz w:val="20"/>
        </w:rPr>
        <w:t>, republicată, cu modificările şi completările ulterioare; scutirea rămâne valabilă şi în cazul transferului proprietăţii prin moştenire către copiii acestora, indiferent unde aceştia</w:t>
      </w:r>
      <w:r>
        <w:rPr>
          <w:spacing w:val="-1"/>
          <w:w w:val="115"/>
          <w:sz w:val="20"/>
        </w:rPr>
        <w:t> </w:t>
      </w:r>
      <w:r>
        <w:rPr>
          <w:w w:val="115"/>
          <w:sz w:val="20"/>
        </w:rPr>
        <w:t>domiciliază;</w:t>
      </w:r>
    </w:p>
    <w:p>
      <w:pPr>
        <w:pStyle w:val="ListParagraph"/>
        <w:numPr>
          <w:ilvl w:val="0"/>
          <w:numId w:val="9"/>
        </w:numPr>
        <w:tabs>
          <w:tab w:pos="324" w:val="left" w:leader="none"/>
        </w:tabs>
        <w:spacing w:line="271" w:lineRule="auto" w:before="111" w:after="0"/>
        <w:ind w:left="108" w:right="111" w:firstLine="0"/>
        <w:jc w:val="both"/>
        <w:rPr>
          <w:rFonts w:ascii="Arial" w:hAnsi="Arial"/>
          <w:sz w:val="20"/>
        </w:rPr>
      </w:pPr>
      <w:r>
        <w:rPr>
          <w:w w:val="115"/>
          <w:sz w:val="20"/>
        </w:rPr>
        <w:t>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w:t>
      </w:r>
      <w:r>
        <w:rPr>
          <w:spacing w:val="-8"/>
          <w:w w:val="115"/>
          <w:sz w:val="20"/>
        </w:rPr>
        <w:t> </w:t>
      </w:r>
      <w:r>
        <w:rPr>
          <w:w w:val="115"/>
          <w:sz w:val="20"/>
        </w:rPr>
        <w:t>invaliditate;</w:t>
      </w:r>
    </w:p>
    <w:p>
      <w:pPr>
        <w:pStyle w:val="ListParagraph"/>
        <w:numPr>
          <w:ilvl w:val="0"/>
          <w:numId w:val="9"/>
        </w:numPr>
        <w:tabs>
          <w:tab w:pos="346" w:val="left" w:leader="none"/>
        </w:tabs>
        <w:spacing w:line="271" w:lineRule="auto" w:before="2" w:after="0"/>
        <w:ind w:left="108" w:right="110" w:firstLine="0"/>
        <w:jc w:val="both"/>
        <w:rPr>
          <w:rFonts w:ascii="Arial" w:hAnsi="Arial"/>
          <w:sz w:val="20"/>
        </w:rPr>
      </w:pPr>
      <w:r>
        <w:rPr>
          <w:w w:val="115"/>
          <w:sz w:val="20"/>
        </w:rPr>
        <w:t>clădirile</w:t>
      </w:r>
      <w:r>
        <w:rPr>
          <w:spacing w:val="-14"/>
          <w:w w:val="115"/>
          <w:sz w:val="20"/>
        </w:rPr>
        <w:t> </w:t>
      </w:r>
      <w:r>
        <w:rPr>
          <w:w w:val="115"/>
          <w:sz w:val="20"/>
        </w:rPr>
        <w:t>aflate</w:t>
      </w:r>
      <w:r>
        <w:rPr>
          <w:spacing w:val="-12"/>
          <w:w w:val="115"/>
          <w:sz w:val="20"/>
        </w:rPr>
        <w:t> </w:t>
      </w:r>
      <w:r>
        <w:rPr>
          <w:w w:val="115"/>
          <w:sz w:val="20"/>
        </w:rPr>
        <w:t>în</w:t>
      </w:r>
      <w:r>
        <w:rPr>
          <w:spacing w:val="-14"/>
          <w:w w:val="115"/>
          <w:sz w:val="20"/>
        </w:rPr>
        <w:t> </w:t>
      </w:r>
      <w:r>
        <w:rPr>
          <w:w w:val="115"/>
          <w:sz w:val="20"/>
        </w:rPr>
        <w:t>proprietatea</w:t>
      </w:r>
      <w:r>
        <w:rPr>
          <w:spacing w:val="-13"/>
          <w:w w:val="115"/>
          <w:sz w:val="20"/>
        </w:rPr>
        <w:t> </w:t>
      </w:r>
      <w:r>
        <w:rPr>
          <w:w w:val="115"/>
          <w:sz w:val="20"/>
        </w:rPr>
        <w:t>organizaţiilor</w:t>
      </w:r>
      <w:r>
        <w:rPr>
          <w:spacing w:val="-13"/>
          <w:w w:val="115"/>
          <w:sz w:val="20"/>
        </w:rPr>
        <w:t> </w:t>
      </w:r>
      <w:r>
        <w:rPr>
          <w:w w:val="115"/>
          <w:sz w:val="20"/>
        </w:rPr>
        <w:t>cetăţenilor</w:t>
      </w:r>
      <w:r>
        <w:rPr>
          <w:spacing w:val="-12"/>
          <w:w w:val="115"/>
          <w:sz w:val="20"/>
        </w:rPr>
        <w:t> </w:t>
      </w:r>
      <w:r>
        <w:rPr>
          <w:w w:val="115"/>
          <w:sz w:val="20"/>
        </w:rPr>
        <w:t>aparţinând</w:t>
      </w:r>
      <w:r>
        <w:rPr>
          <w:spacing w:val="-13"/>
          <w:w w:val="115"/>
          <w:sz w:val="20"/>
        </w:rPr>
        <w:t> </w:t>
      </w:r>
      <w:r>
        <w:rPr>
          <w:w w:val="115"/>
          <w:sz w:val="20"/>
        </w:rPr>
        <w:t>minorităţilor</w:t>
      </w:r>
      <w:r>
        <w:rPr>
          <w:spacing w:val="-12"/>
          <w:w w:val="115"/>
          <w:sz w:val="20"/>
        </w:rPr>
        <w:t> </w:t>
      </w:r>
      <w:r>
        <w:rPr>
          <w:w w:val="115"/>
          <w:sz w:val="20"/>
        </w:rPr>
        <w:t>naţionale</w:t>
      </w:r>
      <w:r>
        <w:rPr>
          <w:spacing w:val="-13"/>
          <w:w w:val="115"/>
          <w:sz w:val="20"/>
        </w:rPr>
        <w:t> </w:t>
      </w:r>
      <w:r>
        <w:rPr>
          <w:w w:val="115"/>
          <w:sz w:val="20"/>
        </w:rPr>
        <w:t>din</w:t>
      </w:r>
      <w:r>
        <w:rPr>
          <w:spacing w:val="-13"/>
          <w:w w:val="115"/>
          <w:sz w:val="20"/>
        </w:rPr>
        <w:t> </w:t>
      </w:r>
      <w:r>
        <w:rPr>
          <w:w w:val="115"/>
          <w:sz w:val="20"/>
        </w:rPr>
        <w:t>România, cu statut de utilitate publică, precum şi cele închiriate, concesionate sau primite în administrare ori în folosinţă de acestea de la o instituţie sau o autoritate publică, cu excepţia încăperilor care sunt folosite pentru activităţi</w:t>
      </w:r>
      <w:r>
        <w:rPr>
          <w:spacing w:val="-3"/>
          <w:w w:val="115"/>
          <w:sz w:val="20"/>
        </w:rPr>
        <w:t> </w:t>
      </w:r>
      <w:r>
        <w:rPr>
          <w:w w:val="115"/>
          <w:sz w:val="20"/>
        </w:rPr>
        <w:t>economice;;</w:t>
      </w:r>
    </w:p>
    <w:p>
      <w:pPr>
        <w:pStyle w:val="BodyText"/>
        <w:spacing w:line="271" w:lineRule="auto" w:before="2"/>
        <w:ind w:left="107" w:right="114"/>
      </w:pPr>
      <w:r>
        <w:rPr>
          <w:rFonts w:ascii="Arial" w:hAnsi="Arial"/>
          <w:b/>
          <w:w w:val="115"/>
        </w:rPr>
        <w:t>v ) </w:t>
      </w:r>
      <w:r>
        <w:rPr>
          <w:w w:val="115"/>
        </w:rPr>
        <w:t>clădirile destinate serviciului de apostilă şi supralegalizare, cele destinate depozitării şi administrării arhivei, precum şi clădirile afectate funcţionării Centrului Naţional de Administrare a Registrelor Naţionale Notariale;</w:t>
      </w:r>
    </w:p>
    <w:p>
      <w:pPr>
        <w:pStyle w:val="ListParagraph"/>
        <w:numPr>
          <w:ilvl w:val="0"/>
          <w:numId w:val="10"/>
        </w:numPr>
        <w:tabs>
          <w:tab w:pos="323" w:val="left" w:leader="none"/>
        </w:tabs>
        <w:spacing w:line="240" w:lineRule="auto" w:before="109" w:after="0"/>
        <w:ind w:left="322" w:right="0" w:hanging="214"/>
        <w:jc w:val="both"/>
        <w:rPr>
          <w:sz w:val="18"/>
        </w:rPr>
      </w:pPr>
      <w:r>
        <w:rPr>
          <w:w w:val="115"/>
          <w:sz w:val="20"/>
        </w:rPr>
        <w:t>clădirile deţinute sau utilizate de către întreprinderile sociale de</w:t>
      </w:r>
      <w:r>
        <w:rPr>
          <w:spacing w:val="-21"/>
          <w:w w:val="115"/>
          <w:sz w:val="20"/>
        </w:rPr>
        <w:t> </w:t>
      </w:r>
      <w:r>
        <w:rPr>
          <w:w w:val="115"/>
          <w:sz w:val="20"/>
        </w:rPr>
        <w:t>inserţie.</w:t>
      </w:r>
    </w:p>
    <w:p>
      <w:pPr>
        <w:pStyle w:val="ListParagraph"/>
        <w:numPr>
          <w:ilvl w:val="0"/>
          <w:numId w:val="10"/>
        </w:numPr>
        <w:tabs>
          <w:tab w:pos="333" w:val="left" w:leader="none"/>
        </w:tabs>
        <w:spacing w:line="271" w:lineRule="auto" w:before="32" w:after="0"/>
        <w:ind w:left="108" w:right="106" w:firstLine="0"/>
        <w:jc w:val="both"/>
        <w:rPr>
          <w:rFonts w:ascii="Arial" w:hAnsi="Arial"/>
          <w:sz w:val="20"/>
        </w:rPr>
      </w:pPr>
      <w:r>
        <w:rPr>
          <w:w w:val="115"/>
          <w:sz w:val="20"/>
        </w:rPr>
        <w:t>clădirile</w:t>
      </w:r>
      <w:r>
        <w:rPr>
          <w:spacing w:val="-9"/>
          <w:w w:val="115"/>
          <w:sz w:val="20"/>
        </w:rPr>
        <w:t> </w:t>
      </w:r>
      <w:r>
        <w:rPr>
          <w:w w:val="115"/>
          <w:sz w:val="20"/>
        </w:rPr>
        <w:t>clasate</w:t>
      </w:r>
      <w:r>
        <w:rPr>
          <w:spacing w:val="-9"/>
          <w:w w:val="115"/>
          <w:sz w:val="20"/>
        </w:rPr>
        <w:t> </w:t>
      </w:r>
      <w:r>
        <w:rPr>
          <w:w w:val="115"/>
          <w:sz w:val="20"/>
        </w:rPr>
        <w:t>ca</w:t>
      </w:r>
      <w:r>
        <w:rPr>
          <w:spacing w:val="-7"/>
          <w:w w:val="115"/>
          <w:sz w:val="20"/>
        </w:rPr>
        <w:t> </w:t>
      </w:r>
      <w:r>
        <w:rPr>
          <w:w w:val="115"/>
          <w:sz w:val="20"/>
        </w:rPr>
        <w:t>monumente</w:t>
      </w:r>
      <w:r>
        <w:rPr>
          <w:spacing w:val="-8"/>
          <w:w w:val="115"/>
          <w:sz w:val="20"/>
        </w:rPr>
        <w:t> </w:t>
      </w:r>
      <w:r>
        <w:rPr>
          <w:w w:val="115"/>
          <w:sz w:val="20"/>
        </w:rPr>
        <w:t>istorice,</w:t>
      </w:r>
      <w:r>
        <w:rPr>
          <w:spacing w:val="-8"/>
          <w:w w:val="115"/>
          <w:sz w:val="20"/>
        </w:rPr>
        <w:t> </w:t>
      </w:r>
      <w:r>
        <w:rPr>
          <w:w w:val="115"/>
          <w:sz w:val="20"/>
        </w:rPr>
        <w:t>de</w:t>
      </w:r>
      <w:r>
        <w:rPr>
          <w:spacing w:val="-7"/>
          <w:w w:val="115"/>
          <w:sz w:val="20"/>
        </w:rPr>
        <w:t> </w:t>
      </w:r>
      <w:r>
        <w:rPr>
          <w:w w:val="115"/>
          <w:sz w:val="20"/>
        </w:rPr>
        <w:t>arhitectură</w:t>
      </w:r>
      <w:r>
        <w:rPr>
          <w:spacing w:val="-8"/>
          <w:w w:val="115"/>
          <w:sz w:val="20"/>
        </w:rPr>
        <w:t> </w:t>
      </w:r>
      <w:r>
        <w:rPr>
          <w:w w:val="115"/>
          <w:sz w:val="20"/>
        </w:rPr>
        <w:t>sau</w:t>
      </w:r>
      <w:r>
        <w:rPr>
          <w:spacing w:val="-8"/>
          <w:w w:val="115"/>
          <w:sz w:val="20"/>
        </w:rPr>
        <w:t> </w:t>
      </w:r>
      <w:r>
        <w:rPr>
          <w:w w:val="115"/>
          <w:sz w:val="20"/>
        </w:rPr>
        <w:t>arheologice,</w:t>
      </w:r>
      <w:r>
        <w:rPr>
          <w:spacing w:val="-8"/>
          <w:w w:val="115"/>
          <w:sz w:val="20"/>
        </w:rPr>
        <w:t> </w:t>
      </w:r>
      <w:r>
        <w:rPr>
          <w:w w:val="115"/>
          <w:sz w:val="20"/>
        </w:rPr>
        <w:t>indiferent</w:t>
      </w:r>
      <w:r>
        <w:rPr>
          <w:spacing w:val="-7"/>
          <w:w w:val="115"/>
          <w:sz w:val="20"/>
        </w:rPr>
        <w:t> </w:t>
      </w:r>
      <w:r>
        <w:rPr>
          <w:w w:val="115"/>
          <w:sz w:val="20"/>
        </w:rPr>
        <w:t>de</w:t>
      </w:r>
      <w:r>
        <w:rPr>
          <w:spacing w:val="-8"/>
          <w:w w:val="115"/>
          <w:sz w:val="20"/>
        </w:rPr>
        <w:t> </w:t>
      </w:r>
      <w:r>
        <w:rPr>
          <w:w w:val="115"/>
          <w:sz w:val="20"/>
        </w:rPr>
        <w:t>titularul</w:t>
      </w:r>
      <w:r>
        <w:rPr>
          <w:spacing w:val="-8"/>
          <w:w w:val="115"/>
          <w:sz w:val="20"/>
        </w:rPr>
        <w:t> </w:t>
      </w:r>
      <w:r>
        <w:rPr>
          <w:w w:val="115"/>
          <w:sz w:val="20"/>
        </w:rPr>
        <w:t>dreptului de proprietate sau de administrare, care au faţada stradală şi/sau principală renovată sau reabilitată conform prevederilor</w:t>
      </w:r>
      <w:r>
        <w:rPr>
          <w:color w:val="3DA7F6"/>
          <w:w w:val="115"/>
          <w:sz w:val="20"/>
        </w:rPr>
        <w:t> </w:t>
      </w:r>
      <w:r>
        <w:rPr>
          <w:color w:val="3DA7F6"/>
          <w:w w:val="115"/>
          <w:sz w:val="20"/>
          <w:u w:val="single" w:color="3DA7F6"/>
        </w:rPr>
        <w:t>Legii nr. 422/2001</w:t>
      </w:r>
      <w:r>
        <w:rPr>
          <w:color w:val="3DA7F6"/>
          <w:w w:val="115"/>
          <w:sz w:val="20"/>
        </w:rPr>
        <w:t> </w:t>
      </w:r>
      <w:r>
        <w:rPr>
          <w:w w:val="115"/>
          <w:sz w:val="20"/>
        </w:rPr>
        <w:t>privind protejarea monumentelor istorice, republicată, cu modificările şi completările ulterioare, cu excepţia încăperilor care sunt folosite pentru activităţi economice.</w:t>
      </w:r>
    </w:p>
    <w:p>
      <w:pPr>
        <w:pStyle w:val="ListParagraph"/>
        <w:numPr>
          <w:ilvl w:val="0"/>
          <w:numId w:val="10"/>
        </w:numPr>
        <w:tabs>
          <w:tab w:pos="335" w:val="left" w:leader="none"/>
        </w:tabs>
        <w:spacing w:line="271" w:lineRule="auto" w:before="3" w:after="0"/>
        <w:ind w:left="108" w:right="107" w:firstLine="0"/>
        <w:jc w:val="both"/>
        <w:rPr>
          <w:rFonts w:ascii="Arial" w:hAnsi="Arial"/>
          <w:sz w:val="20"/>
        </w:rPr>
      </w:pPr>
      <w:r>
        <w:rPr>
          <w:w w:val="115"/>
          <w:sz w:val="20"/>
        </w:rPr>
        <w:t>clădirile</w:t>
      </w:r>
      <w:r>
        <w:rPr>
          <w:spacing w:val="-8"/>
          <w:w w:val="115"/>
          <w:sz w:val="20"/>
        </w:rPr>
        <w:t> </w:t>
      </w:r>
      <w:r>
        <w:rPr>
          <w:w w:val="115"/>
          <w:sz w:val="20"/>
        </w:rPr>
        <w:t>caselor</w:t>
      </w:r>
      <w:r>
        <w:rPr>
          <w:spacing w:val="-8"/>
          <w:w w:val="115"/>
          <w:sz w:val="20"/>
        </w:rPr>
        <w:t> </w:t>
      </w:r>
      <w:r>
        <w:rPr>
          <w:w w:val="115"/>
          <w:sz w:val="20"/>
        </w:rPr>
        <w:t>de</w:t>
      </w:r>
      <w:r>
        <w:rPr>
          <w:spacing w:val="-8"/>
          <w:w w:val="115"/>
          <w:sz w:val="20"/>
        </w:rPr>
        <w:t> </w:t>
      </w:r>
      <w:r>
        <w:rPr>
          <w:w w:val="115"/>
          <w:sz w:val="20"/>
        </w:rPr>
        <w:t>cultură</w:t>
      </w:r>
      <w:r>
        <w:rPr>
          <w:spacing w:val="-8"/>
          <w:w w:val="115"/>
          <w:sz w:val="20"/>
        </w:rPr>
        <w:t> </w:t>
      </w:r>
      <w:r>
        <w:rPr>
          <w:w w:val="115"/>
          <w:sz w:val="20"/>
        </w:rPr>
        <w:t>ale</w:t>
      </w:r>
      <w:r>
        <w:rPr>
          <w:spacing w:val="-8"/>
          <w:w w:val="115"/>
          <w:sz w:val="20"/>
        </w:rPr>
        <w:t> </w:t>
      </w:r>
      <w:r>
        <w:rPr>
          <w:w w:val="115"/>
          <w:sz w:val="20"/>
        </w:rPr>
        <w:t>sindicatelor,</w:t>
      </w:r>
      <w:r>
        <w:rPr>
          <w:spacing w:val="-8"/>
          <w:w w:val="115"/>
          <w:sz w:val="20"/>
        </w:rPr>
        <w:t> </w:t>
      </w:r>
      <w:r>
        <w:rPr>
          <w:w w:val="115"/>
          <w:sz w:val="20"/>
        </w:rPr>
        <w:t>aflate</w:t>
      </w:r>
      <w:r>
        <w:rPr>
          <w:spacing w:val="-8"/>
          <w:w w:val="115"/>
          <w:sz w:val="20"/>
        </w:rPr>
        <w:t> </w:t>
      </w:r>
      <w:r>
        <w:rPr>
          <w:w w:val="115"/>
          <w:sz w:val="20"/>
        </w:rPr>
        <w:t>în</w:t>
      </w:r>
      <w:r>
        <w:rPr>
          <w:spacing w:val="-8"/>
          <w:w w:val="115"/>
          <w:sz w:val="20"/>
        </w:rPr>
        <w:t> </w:t>
      </w:r>
      <w:r>
        <w:rPr>
          <w:w w:val="115"/>
          <w:sz w:val="20"/>
        </w:rPr>
        <w:t>proprietatea/administrarea</w:t>
      </w:r>
      <w:r>
        <w:rPr>
          <w:spacing w:val="-8"/>
          <w:w w:val="115"/>
          <w:sz w:val="20"/>
        </w:rPr>
        <w:t> </w:t>
      </w:r>
      <w:r>
        <w:rPr>
          <w:w w:val="115"/>
          <w:sz w:val="20"/>
        </w:rPr>
        <w:t>organizaţiilor</w:t>
      </w:r>
      <w:r>
        <w:rPr>
          <w:spacing w:val="-8"/>
          <w:w w:val="115"/>
          <w:sz w:val="20"/>
        </w:rPr>
        <w:t> </w:t>
      </w:r>
      <w:r>
        <w:rPr>
          <w:w w:val="115"/>
          <w:sz w:val="20"/>
        </w:rPr>
        <w:t>sindicale, cu excepţia încăperilor folosite pentru activităţi economice sau</w:t>
      </w:r>
      <w:r>
        <w:rPr>
          <w:spacing w:val="-20"/>
          <w:w w:val="115"/>
          <w:sz w:val="20"/>
        </w:rPr>
        <w:t> </w:t>
      </w:r>
      <w:r>
        <w:rPr>
          <w:w w:val="115"/>
          <w:sz w:val="20"/>
        </w:rPr>
        <w:t>agrement.</w:t>
      </w:r>
    </w:p>
    <w:p>
      <w:pPr>
        <w:pStyle w:val="ListParagraph"/>
        <w:numPr>
          <w:ilvl w:val="0"/>
          <w:numId w:val="8"/>
        </w:numPr>
        <w:tabs>
          <w:tab w:pos="276" w:val="left" w:leader="none"/>
        </w:tabs>
        <w:spacing w:line="240" w:lineRule="auto" w:before="108" w:after="0"/>
        <w:ind w:left="275" w:right="0" w:hanging="167"/>
        <w:jc w:val="both"/>
        <w:rPr>
          <w:sz w:val="18"/>
        </w:rPr>
      </w:pPr>
      <w:r>
        <w:rPr>
          <w:w w:val="110"/>
          <w:sz w:val="20"/>
        </w:rPr>
        <w:t>În cazul scutirilor prevăzute la alin. (1) lit. r), s) şi</w:t>
      </w:r>
      <w:r>
        <w:rPr>
          <w:spacing w:val="21"/>
          <w:w w:val="110"/>
          <w:sz w:val="20"/>
        </w:rPr>
        <w:t> </w:t>
      </w:r>
      <w:r>
        <w:rPr>
          <w:w w:val="110"/>
          <w:sz w:val="20"/>
        </w:rPr>
        <w:t>t):</w:t>
      </w:r>
    </w:p>
    <w:p>
      <w:pPr>
        <w:pStyle w:val="ListParagraph"/>
        <w:numPr>
          <w:ilvl w:val="0"/>
          <w:numId w:val="11"/>
        </w:numPr>
        <w:tabs>
          <w:tab w:pos="353" w:val="left" w:leader="none"/>
        </w:tabs>
        <w:spacing w:line="271" w:lineRule="auto" w:before="140" w:after="0"/>
        <w:ind w:left="108" w:right="109" w:firstLine="0"/>
        <w:jc w:val="both"/>
        <w:rPr>
          <w:sz w:val="20"/>
        </w:rPr>
      </w:pPr>
      <w:r>
        <w:rPr>
          <w:w w:val="115"/>
          <w:sz w:val="20"/>
        </w:rPr>
        <w:t>scutirea</w:t>
      </w:r>
      <w:r>
        <w:rPr>
          <w:spacing w:val="-4"/>
          <w:w w:val="115"/>
          <w:sz w:val="20"/>
        </w:rPr>
        <w:t> </w:t>
      </w:r>
      <w:r>
        <w:rPr>
          <w:w w:val="115"/>
          <w:sz w:val="20"/>
        </w:rPr>
        <w:t>se</w:t>
      </w:r>
      <w:r>
        <w:rPr>
          <w:spacing w:val="-3"/>
          <w:w w:val="115"/>
          <w:sz w:val="20"/>
        </w:rPr>
        <w:t> </w:t>
      </w:r>
      <w:r>
        <w:rPr>
          <w:w w:val="115"/>
          <w:sz w:val="20"/>
        </w:rPr>
        <w:t>acordă</w:t>
      </w:r>
      <w:r>
        <w:rPr>
          <w:spacing w:val="-4"/>
          <w:w w:val="115"/>
          <w:sz w:val="20"/>
        </w:rPr>
        <w:t> </w:t>
      </w:r>
      <w:r>
        <w:rPr>
          <w:w w:val="115"/>
          <w:sz w:val="20"/>
        </w:rPr>
        <w:t>integral</w:t>
      </w:r>
      <w:r>
        <w:rPr>
          <w:spacing w:val="-3"/>
          <w:w w:val="115"/>
          <w:sz w:val="20"/>
        </w:rPr>
        <w:t> </w:t>
      </w:r>
      <w:r>
        <w:rPr>
          <w:w w:val="115"/>
          <w:sz w:val="20"/>
        </w:rPr>
        <w:t>pentru</w:t>
      </w:r>
      <w:r>
        <w:rPr>
          <w:spacing w:val="-4"/>
          <w:w w:val="115"/>
          <w:sz w:val="20"/>
        </w:rPr>
        <w:t> </w:t>
      </w:r>
      <w:r>
        <w:rPr>
          <w:w w:val="115"/>
          <w:sz w:val="20"/>
        </w:rPr>
        <w:t>clădirile</w:t>
      </w:r>
      <w:r>
        <w:rPr>
          <w:spacing w:val="-3"/>
          <w:w w:val="115"/>
          <w:sz w:val="20"/>
        </w:rPr>
        <w:t> </w:t>
      </w:r>
      <w:r>
        <w:rPr>
          <w:w w:val="115"/>
          <w:sz w:val="20"/>
        </w:rPr>
        <w:t>aflate</w:t>
      </w:r>
      <w:r>
        <w:rPr>
          <w:spacing w:val="-4"/>
          <w:w w:val="115"/>
          <w:sz w:val="20"/>
        </w:rPr>
        <w:t> </w:t>
      </w:r>
      <w:r>
        <w:rPr>
          <w:w w:val="115"/>
          <w:sz w:val="20"/>
        </w:rPr>
        <w:t>în</w:t>
      </w:r>
      <w:r>
        <w:rPr>
          <w:spacing w:val="-3"/>
          <w:w w:val="115"/>
          <w:sz w:val="20"/>
        </w:rPr>
        <w:t> </w:t>
      </w:r>
      <w:r>
        <w:rPr>
          <w:w w:val="115"/>
          <w:sz w:val="20"/>
        </w:rPr>
        <w:t>proprietatea</w:t>
      </w:r>
      <w:r>
        <w:rPr>
          <w:spacing w:val="-4"/>
          <w:w w:val="115"/>
          <w:sz w:val="20"/>
        </w:rPr>
        <w:t> </w:t>
      </w:r>
      <w:r>
        <w:rPr>
          <w:w w:val="115"/>
          <w:sz w:val="20"/>
        </w:rPr>
        <w:t>persoanelor</w:t>
      </w:r>
      <w:r>
        <w:rPr>
          <w:spacing w:val="-3"/>
          <w:w w:val="115"/>
          <w:sz w:val="20"/>
        </w:rPr>
        <w:t> </w:t>
      </w:r>
      <w:r>
        <w:rPr>
          <w:w w:val="115"/>
          <w:sz w:val="20"/>
        </w:rPr>
        <w:t>menţionate</w:t>
      </w:r>
      <w:r>
        <w:rPr>
          <w:spacing w:val="-4"/>
          <w:w w:val="115"/>
          <w:sz w:val="20"/>
        </w:rPr>
        <w:t> </w:t>
      </w:r>
      <w:r>
        <w:rPr>
          <w:w w:val="115"/>
          <w:sz w:val="20"/>
        </w:rPr>
        <w:t>la</w:t>
      </w:r>
      <w:r>
        <w:rPr>
          <w:spacing w:val="-3"/>
          <w:w w:val="115"/>
          <w:sz w:val="20"/>
        </w:rPr>
        <w:t> </w:t>
      </w:r>
      <w:r>
        <w:rPr>
          <w:w w:val="115"/>
          <w:sz w:val="20"/>
        </w:rPr>
        <w:t>alin.</w:t>
      </w:r>
      <w:r>
        <w:rPr>
          <w:spacing w:val="-4"/>
          <w:w w:val="115"/>
          <w:sz w:val="20"/>
        </w:rPr>
        <w:t> </w:t>
      </w:r>
      <w:r>
        <w:rPr>
          <w:w w:val="115"/>
          <w:sz w:val="20"/>
        </w:rPr>
        <w:t>(1)</w:t>
      </w:r>
      <w:r>
        <w:rPr>
          <w:spacing w:val="-3"/>
          <w:w w:val="115"/>
          <w:sz w:val="20"/>
        </w:rPr>
        <w:t> </w:t>
      </w:r>
      <w:r>
        <w:rPr>
          <w:w w:val="115"/>
          <w:sz w:val="20"/>
        </w:rPr>
        <w:t>lit. r), deţinute în comun cu soţul sau soţia. În situaţia în care o cotă - parte din clădiri aparţine unor terţi, scutirea nu se acordă pentru cota - parte deţinută de aceşti</w:t>
      </w:r>
      <w:r>
        <w:rPr>
          <w:spacing w:val="-21"/>
          <w:w w:val="115"/>
          <w:sz w:val="20"/>
        </w:rPr>
        <w:t> </w:t>
      </w:r>
      <w:r>
        <w:rPr>
          <w:w w:val="115"/>
          <w:sz w:val="20"/>
        </w:rPr>
        <w:t>terţi;</w:t>
      </w:r>
    </w:p>
    <w:p>
      <w:pPr>
        <w:pStyle w:val="ListParagraph"/>
        <w:numPr>
          <w:ilvl w:val="0"/>
          <w:numId w:val="11"/>
        </w:numPr>
        <w:tabs>
          <w:tab w:pos="424" w:val="left" w:leader="none"/>
        </w:tabs>
        <w:spacing w:line="271" w:lineRule="auto" w:before="109" w:after="0"/>
        <w:ind w:left="108" w:right="116" w:firstLine="61"/>
        <w:jc w:val="both"/>
        <w:rPr>
          <w:sz w:val="20"/>
        </w:rPr>
      </w:pPr>
      <w:r>
        <w:rPr>
          <w:w w:val="115"/>
          <w:sz w:val="20"/>
        </w:rPr>
        <w:t>scutirea se acordă pentru întreaga clădire de domiciliu deţinută în comun cu soţul sau soţia, pentru clădirile aflate în proprietatea persoanelor menţionate la alin. (1) lit. s) şi t). În situaţia în care o cotă - parte din clădirea de domiciliu aparţine unor terţi, scutirea nu se acordă pentru cota - parte deţinută de aceşti</w:t>
      </w:r>
      <w:r>
        <w:rPr>
          <w:spacing w:val="-1"/>
          <w:w w:val="115"/>
          <w:sz w:val="20"/>
        </w:rPr>
        <w:t> </w:t>
      </w:r>
      <w:r>
        <w:rPr>
          <w:w w:val="115"/>
          <w:sz w:val="20"/>
        </w:rPr>
        <w:t>terţi.</w:t>
      </w:r>
    </w:p>
    <w:p>
      <w:pPr>
        <w:pStyle w:val="ListParagraph"/>
        <w:numPr>
          <w:ilvl w:val="0"/>
          <w:numId w:val="8"/>
        </w:numPr>
        <w:tabs>
          <w:tab w:pos="276" w:val="left" w:leader="none"/>
        </w:tabs>
        <w:spacing w:line="240" w:lineRule="auto" w:before="109" w:after="0"/>
        <w:ind w:left="275" w:right="0" w:hanging="167"/>
        <w:jc w:val="both"/>
        <w:rPr>
          <w:sz w:val="18"/>
        </w:rPr>
      </w:pPr>
      <w:r>
        <w:rPr>
          <w:w w:val="110"/>
          <w:sz w:val="20"/>
        </w:rPr>
        <w:t>Scutirea</w:t>
      </w:r>
      <w:r>
        <w:rPr>
          <w:spacing w:val="38"/>
          <w:w w:val="110"/>
          <w:sz w:val="20"/>
        </w:rPr>
        <w:t> </w:t>
      </w:r>
      <w:r>
        <w:rPr>
          <w:w w:val="110"/>
          <w:sz w:val="20"/>
        </w:rPr>
        <w:t>de</w:t>
      </w:r>
      <w:r>
        <w:rPr>
          <w:spacing w:val="38"/>
          <w:w w:val="110"/>
          <w:sz w:val="20"/>
        </w:rPr>
        <w:t> </w:t>
      </w:r>
      <w:r>
        <w:rPr>
          <w:w w:val="110"/>
          <w:sz w:val="20"/>
        </w:rPr>
        <w:t>la</w:t>
      </w:r>
      <w:r>
        <w:rPr>
          <w:spacing w:val="38"/>
          <w:w w:val="110"/>
          <w:sz w:val="20"/>
        </w:rPr>
        <w:t> </w:t>
      </w:r>
      <w:r>
        <w:rPr>
          <w:w w:val="110"/>
          <w:sz w:val="20"/>
        </w:rPr>
        <w:t>plata</w:t>
      </w:r>
      <w:r>
        <w:rPr>
          <w:spacing w:val="38"/>
          <w:w w:val="110"/>
          <w:sz w:val="20"/>
        </w:rPr>
        <w:t> </w:t>
      </w:r>
      <w:r>
        <w:rPr>
          <w:w w:val="110"/>
          <w:sz w:val="20"/>
        </w:rPr>
        <w:t>impozitului/taxei</w:t>
      </w:r>
      <w:r>
        <w:rPr>
          <w:spacing w:val="38"/>
          <w:w w:val="110"/>
          <w:sz w:val="20"/>
        </w:rPr>
        <w:t> </w:t>
      </w:r>
      <w:r>
        <w:rPr>
          <w:w w:val="110"/>
          <w:sz w:val="20"/>
        </w:rPr>
        <w:t>pe</w:t>
      </w:r>
      <w:r>
        <w:rPr>
          <w:spacing w:val="38"/>
          <w:w w:val="110"/>
          <w:sz w:val="20"/>
        </w:rPr>
        <w:t> </w:t>
      </w:r>
      <w:r>
        <w:rPr>
          <w:w w:val="110"/>
          <w:sz w:val="20"/>
        </w:rPr>
        <w:t>clădiri,</w:t>
      </w:r>
      <w:r>
        <w:rPr>
          <w:spacing w:val="38"/>
          <w:w w:val="110"/>
          <w:sz w:val="20"/>
        </w:rPr>
        <w:t> </w:t>
      </w:r>
      <w:r>
        <w:rPr>
          <w:w w:val="110"/>
          <w:sz w:val="20"/>
        </w:rPr>
        <w:t>stabilită</w:t>
      </w:r>
      <w:r>
        <w:rPr>
          <w:spacing w:val="38"/>
          <w:w w:val="110"/>
          <w:sz w:val="20"/>
        </w:rPr>
        <w:t> </w:t>
      </w:r>
      <w:r>
        <w:rPr>
          <w:w w:val="110"/>
          <w:sz w:val="20"/>
        </w:rPr>
        <w:t>conform</w:t>
      </w:r>
      <w:r>
        <w:rPr>
          <w:spacing w:val="38"/>
          <w:w w:val="110"/>
          <w:sz w:val="20"/>
        </w:rPr>
        <w:t> </w:t>
      </w:r>
      <w:r>
        <w:rPr>
          <w:w w:val="110"/>
          <w:sz w:val="20"/>
        </w:rPr>
        <w:t>alin.</w:t>
      </w:r>
      <w:r>
        <w:rPr>
          <w:spacing w:val="38"/>
          <w:w w:val="110"/>
          <w:sz w:val="20"/>
        </w:rPr>
        <w:t> </w:t>
      </w:r>
      <w:r>
        <w:rPr>
          <w:w w:val="110"/>
          <w:sz w:val="20"/>
        </w:rPr>
        <w:t>(1)</w:t>
      </w:r>
      <w:r>
        <w:rPr>
          <w:spacing w:val="38"/>
          <w:w w:val="110"/>
          <w:sz w:val="20"/>
        </w:rPr>
        <w:t> </w:t>
      </w:r>
      <w:r>
        <w:rPr>
          <w:w w:val="110"/>
          <w:sz w:val="20"/>
        </w:rPr>
        <w:t>lit.</w:t>
      </w:r>
      <w:r>
        <w:rPr>
          <w:spacing w:val="38"/>
          <w:w w:val="110"/>
          <w:sz w:val="20"/>
        </w:rPr>
        <w:t> </w:t>
      </w:r>
      <w:r>
        <w:rPr>
          <w:w w:val="110"/>
          <w:sz w:val="20"/>
        </w:rPr>
        <w:t>t),</w:t>
      </w:r>
      <w:r>
        <w:rPr>
          <w:spacing w:val="38"/>
          <w:w w:val="110"/>
          <w:sz w:val="20"/>
        </w:rPr>
        <w:t> </w:t>
      </w:r>
      <w:r>
        <w:rPr>
          <w:w w:val="110"/>
          <w:sz w:val="20"/>
        </w:rPr>
        <w:t>se</w:t>
      </w:r>
      <w:r>
        <w:rPr>
          <w:spacing w:val="38"/>
          <w:w w:val="110"/>
          <w:sz w:val="20"/>
        </w:rPr>
        <w:t> </w:t>
      </w:r>
      <w:r>
        <w:rPr>
          <w:w w:val="110"/>
          <w:sz w:val="20"/>
        </w:rPr>
        <w:t>aplică</w:t>
      </w:r>
      <w:r>
        <w:rPr>
          <w:spacing w:val="38"/>
          <w:w w:val="110"/>
          <w:sz w:val="20"/>
        </w:rPr>
        <w:t> </w:t>
      </w:r>
      <w:r>
        <w:rPr>
          <w:w w:val="110"/>
          <w:sz w:val="20"/>
        </w:rPr>
        <w:t>începând</w:t>
      </w:r>
      <w:r>
        <w:rPr>
          <w:spacing w:val="38"/>
          <w:w w:val="110"/>
          <w:sz w:val="20"/>
        </w:rPr>
        <w:t> </w:t>
      </w:r>
      <w:r>
        <w:rPr>
          <w:w w:val="110"/>
          <w:sz w:val="20"/>
        </w:rPr>
        <w:t>cu</w:t>
      </w:r>
    </w:p>
    <w:p>
      <w:pPr>
        <w:spacing w:after="0" w:line="240" w:lineRule="auto"/>
        <w:jc w:val="both"/>
        <w:rPr>
          <w:sz w:val="18"/>
        </w:rPr>
        <w:sectPr>
          <w:pgSz w:w="11900" w:h="16840"/>
          <w:pgMar w:header="0" w:footer="341" w:top="500" w:bottom="560" w:left="1140" w:right="740"/>
        </w:sectPr>
      </w:pPr>
    </w:p>
    <w:p>
      <w:pPr>
        <w:pStyle w:val="BodyText"/>
        <w:spacing w:before="100"/>
        <w:ind w:left="107"/>
        <w:jc w:val="left"/>
      </w:pPr>
      <w:r>
        <w:rPr>
          <w:w w:val="115"/>
        </w:rPr>
        <w:t>data de 1 a lunii următoare celei în care persoana depune documentele justificative.</w:t>
      </w:r>
    </w:p>
    <w:p>
      <w:pPr>
        <w:pStyle w:val="ListParagraph"/>
        <w:numPr>
          <w:ilvl w:val="0"/>
          <w:numId w:val="8"/>
        </w:numPr>
        <w:tabs>
          <w:tab w:pos="276" w:val="left" w:leader="none"/>
        </w:tabs>
        <w:spacing w:line="271" w:lineRule="auto" w:before="140" w:after="0"/>
        <w:ind w:left="108" w:right="112" w:firstLine="0"/>
        <w:jc w:val="both"/>
        <w:rPr>
          <w:sz w:val="18"/>
        </w:rPr>
      </w:pPr>
      <w:r>
        <w:rPr>
          <w:w w:val="110"/>
          <w:sz w:val="20"/>
        </w:rPr>
        <w:t>Prin excepţie de la prevederile alin. 3, scutirea de la plata impozitului/taxei pe clădiri, stabilită conform  alin. (1) lit. t) în cazul persoanelor cu handicap temporar, care deţin un certificat de handicap revizuibil, se acordă începând cu data emiterii noului certificat de handicap, cu condiţia ca acesta să aibă continuitate        şi să fie depus la organul fiscal local în termen de 45 de</w:t>
      </w:r>
      <w:r>
        <w:rPr>
          <w:spacing w:val="40"/>
          <w:w w:val="110"/>
          <w:sz w:val="20"/>
        </w:rPr>
        <w:t> </w:t>
      </w:r>
      <w:r>
        <w:rPr>
          <w:w w:val="110"/>
          <w:sz w:val="20"/>
        </w:rPr>
        <w:t>zile.</w:t>
      </w:r>
    </w:p>
    <w:p>
      <w:pPr>
        <w:pStyle w:val="ListParagraph"/>
        <w:numPr>
          <w:ilvl w:val="0"/>
          <w:numId w:val="8"/>
        </w:numPr>
        <w:tabs>
          <w:tab w:pos="948" w:val="left" w:leader="none"/>
        </w:tabs>
        <w:spacing w:line="240" w:lineRule="auto" w:before="109" w:after="0"/>
        <w:ind w:left="947" w:right="0" w:hanging="218"/>
        <w:jc w:val="left"/>
        <w:rPr>
          <w:sz w:val="20"/>
        </w:rPr>
      </w:pPr>
      <w:r>
        <w:rPr>
          <w:w w:val="115"/>
          <w:sz w:val="20"/>
        </w:rPr>
        <w:t>Consiliul local acordă scutirea impozitului/taxei pe clădiri datorate pentru următoarele</w:t>
      </w:r>
      <w:r>
        <w:rPr>
          <w:spacing w:val="16"/>
          <w:w w:val="115"/>
          <w:sz w:val="20"/>
        </w:rPr>
        <w:t> </w:t>
      </w:r>
      <w:r>
        <w:rPr>
          <w:w w:val="115"/>
          <w:sz w:val="20"/>
        </w:rPr>
        <w:t>clădiri:</w:t>
      </w:r>
    </w:p>
    <w:p>
      <w:pPr>
        <w:pStyle w:val="ListParagraph"/>
        <w:numPr>
          <w:ilvl w:val="0"/>
          <w:numId w:val="12"/>
        </w:numPr>
        <w:tabs>
          <w:tab w:pos="340" w:val="left" w:leader="none"/>
        </w:tabs>
        <w:spacing w:line="271" w:lineRule="auto" w:before="140" w:after="0"/>
        <w:ind w:left="108" w:right="119" w:firstLine="0"/>
        <w:jc w:val="left"/>
        <w:rPr>
          <w:sz w:val="20"/>
        </w:rPr>
      </w:pPr>
      <w:r>
        <w:rPr>
          <w:w w:val="115"/>
          <w:sz w:val="20"/>
        </w:rPr>
        <w:t>clădirile care, potrivit legii, sunt clasate ca monumente istorice, de arhitectură sau arheologice, muzee ori case</w:t>
      </w:r>
      <w:r>
        <w:rPr>
          <w:spacing w:val="-2"/>
          <w:w w:val="115"/>
          <w:sz w:val="20"/>
        </w:rPr>
        <w:t> </w:t>
      </w:r>
      <w:r>
        <w:rPr>
          <w:w w:val="115"/>
          <w:sz w:val="20"/>
        </w:rPr>
        <w:t>memoriale;</w:t>
      </w:r>
    </w:p>
    <w:p>
      <w:pPr>
        <w:pStyle w:val="ListParagraph"/>
        <w:numPr>
          <w:ilvl w:val="0"/>
          <w:numId w:val="12"/>
        </w:numPr>
        <w:tabs>
          <w:tab w:pos="352" w:val="left" w:leader="none"/>
        </w:tabs>
        <w:spacing w:line="271" w:lineRule="auto" w:before="109" w:after="0"/>
        <w:ind w:left="108" w:right="113" w:firstLine="0"/>
        <w:jc w:val="left"/>
        <w:rPr>
          <w:sz w:val="20"/>
        </w:rPr>
      </w:pPr>
      <w:r>
        <w:rPr>
          <w:w w:val="115"/>
          <w:sz w:val="20"/>
        </w:rPr>
        <w:t>clădiri pentru care s-a instituit un regim de protecţie, altele decât monumentele istorice, amplasate în zone de protecţie ale monumentelor istorice şi în zonele construite</w:t>
      </w:r>
      <w:r>
        <w:rPr>
          <w:spacing w:val="-27"/>
          <w:w w:val="115"/>
          <w:sz w:val="20"/>
        </w:rPr>
        <w:t> </w:t>
      </w:r>
      <w:r>
        <w:rPr>
          <w:w w:val="115"/>
          <w:sz w:val="20"/>
        </w:rPr>
        <w:t>protejate;</w:t>
      </w:r>
    </w:p>
    <w:p>
      <w:pPr>
        <w:pStyle w:val="ListParagraph"/>
        <w:numPr>
          <w:ilvl w:val="0"/>
          <w:numId w:val="12"/>
        </w:numPr>
        <w:tabs>
          <w:tab w:pos="390" w:val="left" w:leader="none"/>
        </w:tabs>
        <w:spacing w:line="271" w:lineRule="auto" w:before="108" w:after="0"/>
        <w:ind w:left="108" w:right="111" w:firstLine="0"/>
        <w:jc w:val="left"/>
        <w:rPr>
          <w:sz w:val="20"/>
        </w:rPr>
      </w:pPr>
      <w:r>
        <w:rPr>
          <w:w w:val="115"/>
          <w:sz w:val="20"/>
        </w:rPr>
        <w:t>clădirile utilizate pentru furnizarea de servicii sociale de către organizaţii neguvernamentale şi întreprinderi sociale ca furnizori de servicii</w:t>
      </w:r>
      <w:r>
        <w:rPr>
          <w:spacing w:val="-9"/>
          <w:w w:val="115"/>
          <w:sz w:val="20"/>
        </w:rPr>
        <w:t> </w:t>
      </w:r>
      <w:r>
        <w:rPr>
          <w:w w:val="115"/>
          <w:sz w:val="20"/>
        </w:rPr>
        <w:t>sociale;</w:t>
      </w:r>
    </w:p>
    <w:p>
      <w:pPr>
        <w:pStyle w:val="ListParagraph"/>
        <w:numPr>
          <w:ilvl w:val="0"/>
          <w:numId w:val="12"/>
        </w:numPr>
        <w:tabs>
          <w:tab w:pos="341" w:val="left" w:leader="none"/>
        </w:tabs>
        <w:spacing w:line="240" w:lineRule="auto" w:before="108" w:after="0"/>
        <w:ind w:left="340" w:right="0" w:hanging="232"/>
        <w:jc w:val="left"/>
        <w:rPr>
          <w:sz w:val="20"/>
        </w:rPr>
      </w:pPr>
      <w:r>
        <w:rPr>
          <w:w w:val="115"/>
          <w:sz w:val="20"/>
        </w:rPr>
        <w:t>clădirile</w:t>
      </w:r>
      <w:r>
        <w:rPr>
          <w:spacing w:val="-6"/>
          <w:w w:val="115"/>
          <w:sz w:val="20"/>
        </w:rPr>
        <w:t> </w:t>
      </w:r>
      <w:r>
        <w:rPr>
          <w:w w:val="115"/>
          <w:sz w:val="20"/>
        </w:rPr>
        <w:t>utilizate</w:t>
      </w:r>
      <w:r>
        <w:rPr>
          <w:spacing w:val="-6"/>
          <w:w w:val="115"/>
          <w:sz w:val="20"/>
        </w:rPr>
        <w:t> </w:t>
      </w:r>
      <w:r>
        <w:rPr>
          <w:w w:val="115"/>
          <w:sz w:val="20"/>
        </w:rPr>
        <w:t>de</w:t>
      </w:r>
      <w:r>
        <w:rPr>
          <w:spacing w:val="-6"/>
          <w:w w:val="115"/>
          <w:sz w:val="20"/>
        </w:rPr>
        <w:t> </w:t>
      </w:r>
      <w:r>
        <w:rPr>
          <w:w w:val="115"/>
          <w:sz w:val="20"/>
        </w:rPr>
        <w:t>organizaţii</w:t>
      </w:r>
      <w:r>
        <w:rPr>
          <w:spacing w:val="-5"/>
          <w:w w:val="115"/>
          <w:sz w:val="20"/>
        </w:rPr>
        <w:t> </w:t>
      </w:r>
      <w:r>
        <w:rPr>
          <w:w w:val="115"/>
          <w:sz w:val="20"/>
        </w:rPr>
        <w:t>nonprofit</w:t>
      </w:r>
      <w:r>
        <w:rPr>
          <w:spacing w:val="-6"/>
          <w:w w:val="115"/>
          <w:sz w:val="20"/>
        </w:rPr>
        <w:t> </w:t>
      </w:r>
      <w:r>
        <w:rPr>
          <w:w w:val="115"/>
          <w:sz w:val="20"/>
        </w:rPr>
        <w:t>folosite</w:t>
      </w:r>
      <w:r>
        <w:rPr>
          <w:spacing w:val="-6"/>
          <w:w w:val="115"/>
          <w:sz w:val="20"/>
        </w:rPr>
        <w:t> </w:t>
      </w:r>
      <w:r>
        <w:rPr>
          <w:w w:val="115"/>
          <w:sz w:val="20"/>
        </w:rPr>
        <w:t>exclusiv</w:t>
      </w:r>
      <w:r>
        <w:rPr>
          <w:spacing w:val="-5"/>
          <w:w w:val="115"/>
          <w:sz w:val="20"/>
        </w:rPr>
        <w:t> </w:t>
      </w:r>
      <w:r>
        <w:rPr>
          <w:w w:val="115"/>
          <w:sz w:val="20"/>
        </w:rPr>
        <w:t>pentru</w:t>
      </w:r>
      <w:r>
        <w:rPr>
          <w:spacing w:val="-6"/>
          <w:w w:val="115"/>
          <w:sz w:val="20"/>
        </w:rPr>
        <w:t> </w:t>
      </w:r>
      <w:r>
        <w:rPr>
          <w:w w:val="115"/>
          <w:sz w:val="20"/>
        </w:rPr>
        <w:t>activităţile</w:t>
      </w:r>
      <w:r>
        <w:rPr>
          <w:spacing w:val="-6"/>
          <w:w w:val="115"/>
          <w:sz w:val="20"/>
        </w:rPr>
        <w:t> </w:t>
      </w:r>
      <w:r>
        <w:rPr>
          <w:w w:val="115"/>
          <w:sz w:val="20"/>
        </w:rPr>
        <w:t>fără</w:t>
      </w:r>
      <w:r>
        <w:rPr>
          <w:spacing w:val="-5"/>
          <w:w w:val="115"/>
          <w:sz w:val="20"/>
        </w:rPr>
        <w:t> </w:t>
      </w:r>
      <w:r>
        <w:rPr>
          <w:w w:val="115"/>
          <w:sz w:val="20"/>
        </w:rPr>
        <w:t>scop</w:t>
      </w:r>
      <w:r>
        <w:rPr>
          <w:spacing w:val="-6"/>
          <w:w w:val="115"/>
          <w:sz w:val="20"/>
        </w:rPr>
        <w:t> </w:t>
      </w:r>
      <w:r>
        <w:rPr>
          <w:w w:val="115"/>
          <w:sz w:val="20"/>
        </w:rPr>
        <w:t>lucrativ;</w:t>
      </w:r>
    </w:p>
    <w:p>
      <w:pPr>
        <w:pStyle w:val="ListParagraph"/>
        <w:numPr>
          <w:ilvl w:val="0"/>
          <w:numId w:val="12"/>
        </w:numPr>
        <w:tabs>
          <w:tab w:pos="1160" w:val="left" w:leader="none"/>
        </w:tabs>
        <w:spacing w:line="271" w:lineRule="auto" w:before="140" w:after="0"/>
        <w:ind w:left="108" w:right="112" w:firstLine="783"/>
        <w:jc w:val="both"/>
        <w:rPr>
          <w:sz w:val="20"/>
        </w:rPr>
      </w:pPr>
      <w:hyperlink r:id="rId9">
        <w:r>
          <w:rPr>
            <w:w w:val="115"/>
            <w:sz w:val="20"/>
          </w:rPr>
          <w:t>Consiliul local acorda reducere de 50% la clădirile restituite potrivit art. 16 di</w:t>
        </w:r>
        <w:r>
          <w:rPr>
            <w:w w:val="115"/>
            <w:sz w:val="20"/>
            <w:u w:val="single" w:color="3DA7F6"/>
          </w:rPr>
          <w:t>n</w:t>
        </w:r>
        <w:r>
          <w:rPr>
            <w:color w:val="3DA7F6"/>
            <w:w w:val="115"/>
            <w:sz w:val="20"/>
            <w:u w:val="single" w:color="3DA7F6"/>
          </w:rPr>
          <w:t>Legea nr. </w:t>
        </w:r>
        <w:r>
          <w:rPr>
            <w:color w:val="3DA7F6"/>
            <w:spacing w:val="3"/>
            <w:w w:val="115"/>
            <w:sz w:val="20"/>
            <w:u w:val="single" w:color="3DA7F6"/>
          </w:rPr>
          <w:t>10/2001</w:t>
        </w:r>
        <w:r>
          <w:rPr>
            <w:color w:val="3DA7F6"/>
            <w:spacing w:val="3"/>
            <w:w w:val="115"/>
            <w:sz w:val="20"/>
          </w:rPr>
          <w:t> </w:t>
        </w:r>
        <w:r>
          <w:rPr>
            <w:w w:val="115"/>
            <w:sz w:val="20"/>
          </w:rPr>
          <w:t>privind regimul juridic al unor imobile preluate în mod abuziv în perioada 6 martie 1945–22</w:t>
        </w:r>
      </w:hyperlink>
      <w:r>
        <w:rPr>
          <w:w w:val="115"/>
          <w:sz w:val="20"/>
        </w:rPr>
        <w:t> decembrie 1989, republicată, cu modificările şi completările ulterioare, pentru perioada pentru care proprietarul menţine afectaţiunea de interes</w:t>
      </w:r>
      <w:r>
        <w:rPr>
          <w:spacing w:val="-8"/>
          <w:w w:val="115"/>
          <w:sz w:val="20"/>
        </w:rPr>
        <w:t> </w:t>
      </w:r>
      <w:r>
        <w:rPr>
          <w:w w:val="115"/>
          <w:sz w:val="20"/>
        </w:rPr>
        <w:t>public;</w:t>
      </w:r>
    </w:p>
    <w:p>
      <w:pPr>
        <w:pStyle w:val="ListParagraph"/>
        <w:numPr>
          <w:ilvl w:val="0"/>
          <w:numId w:val="12"/>
        </w:numPr>
        <w:tabs>
          <w:tab w:pos="1175" w:val="left" w:leader="none"/>
        </w:tabs>
        <w:spacing w:line="271" w:lineRule="auto" w:before="110" w:after="0"/>
        <w:ind w:left="108" w:right="108" w:firstLine="846"/>
        <w:jc w:val="both"/>
        <w:rPr>
          <w:sz w:val="20"/>
        </w:rPr>
      </w:pPr>
      <w:r>
        <w:rPr>
          <w:w w:val="115"/>
          <w:sz w:val="20"/>
        </w:rPr>
        <w:t>Consiliul local acorda reducere de 50% la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w:t>
      </w:r>
      <w:r>
        <w:rPr>
          <w:spacing w:val="-17"/>
          <w:w w:val="115"/>
          <w:sz w:val="20"/>
        </w:rPr>
        <w:t> </w:t>
      </w:r>
      <w:r>
        <w:rPr>
          <w:w w:val="115"/>
          <w:sz w:val="20"/>
        </w:rPr>
        <w:t>public;</w:t>
      </w:r>
    </w:p>
    <w:p>
      <w:pPr>
        <w:pStyle w:val="ListParagraph"/>
        <w:numPr>
          <w:ilvl w:val="0"/>
          <w:numId w:val="12"/>
        </w:numPr>
        <w:tabs>
          <w:tab w:pos="972" w:val="left" w:leader="none"/>
        </w:tabs>
        <w:spacing w:line="271" w:lineRule="auto" w:before="109" w:after="0"/>
        <w:ind w:left="108" w:right="108" w:firstLine="580"/>
        <w:jc w:val="both"/>
        <w:rPr>
          <w:sz w:val="20"/>
        </w:rPr>
      </w:pPr>
      <w:r>
        <w:rPr>
          <w:w w:val="115"/>
          <w:sz w:val="20"/>
        </w:rPr>
        <w:t>Consiliul</w:t>
      </w:r>
      <w:r>
        <w:rPr>
          <w:spacing w:val="-4"/>
          <w:w w:val="115"/>
          <w:sz w:val="20"/>
        </w:rPr>
        <w:t> </w:t>
      </w:r>
      <w:r>
        <w:rPr>
          <w:w w:val="115"/>
          <w:sz w:val="20"/>
        </w:rPr>
        <w:t>local</w:t>
      </w:r>
      <w:r>
        <w:rPr>
          <w:spacing w:val="-4"/>
          <w:w w:val="115"/>
          <w:sz w:val="20"/>
        </w:rPr>
        <w:t> </w:t>
      </w:r>
      <w:r>
        <w:rPr>
          <w:w w:val="115"/>
          <w:sz w:val="20"/>
        </w:rPr>
        <w:t>acorda</w:t>
      </w:r>
      <w:r>
        <w:rPr>
          <w:spacing w:val="-4"/>
          <w:w w:val="115"/>
          <w:sz w:val="20"/>
        </w:rPr>
        <w:t> </w:t>
      </w:r>
      <w:r>
        <w:rPr>
          <w:w w:val="115"/>
          <w:sz w:val="20"/>
        </w:rPr>
        <w:t>reducere</w:t>
      </w:r>
      <w:r>
        <w:rPr>
          <w:spacing w:val="-4"/>
          <w:w w:val="115"/>
          <w:sz w:val="20"/>
        </w:rPr>
        <w:t> </w:t>
      </w:r>
      <w:r>
        <w:rPr>
          <w:w w:val="115"/>
          <w:sz w:val="20"/>
        </w:rPr>
        <w:t>de</w:t>
      </w:r>
      <w:r>
        <w:rPr>
          <w:spacing w:val="-4"/>
          <w:w w:val="115"/>
          <w:sz w:val="20"/>
        </w:rPr>
        <w:t> </w:t>
      </w:r>
      <w:r>
        <w:rPr>
          <w:w w:val="115"/>
          <w:sz w:val="20"/>
        </w:rPr>
        <w:t>50%</w:t>
      </w:r>
      <w:r>
        <w:rPr>
          <w:spacing w:val="-4"/>
          <w:w w:val="115"/>
          <w:sz w:val="20"/>
        </w:rPr>
        <w:t> </w:t>
      </w:r>
      <w:r>
        <w:rPr>
          <w:w w:val="115"/>
          <w:sz w:val="20"/>
        </w:rPr>
        <w:t>la</w:t>
      </w:r>
      <w:r>
        <w:rPr>
          <w:spacing w:val="-4"/>
          <w:w w:val="115"/>
          <w:sz w:val="20"/>
        </w:rPr>
        <w:t> </w:t>
      </w:r>
      <w:r>
        <w:rPr>
          <w:w w:val="115"/>
          <w:sz w:val="20"/>
        </w:rPr>
        <w:t>clădirile</w:t>
      </w:r>
      <w:r>
        <w:rPr>
          <w:spacing w:val="-3"/>
          <w:w w:val="115"/>
          <w:sz w:val="20"/>
        </w:rPr>
        <w:t> </w:t>
      </w:r>
      <w:r>
        <w:rPr>
          <w:w w:val="115"/>
          <w:sz w:val="20"/>
        </w:rPr>
        <w:t>restituite</w:t>
      </w:r>
      <w:r>
        <w:rPr>
          <w:spacing w:val="-4"/>
          <w:w w:val="115"/>
          <w:sz w:val="20"/>
        </w:rPr>
        <w:t> </w:t>
      </w:r>
      <w:r>
        <w:rPr>
          <w:w w:val="115"/>
          <w:sz w:val="20"/>
        </w:rPr>
        <w:t>potrivit</w:t>
      </w:r>
      <w:r>
        <w:rPr>
          <w:spacing w:val="-4"/>
          <w:w w:val="115"/>
          <w:sz w:val="20"/>
        </w:rPr>
        <w:t> </w:t>
      </w:r>
      <w:r>
        <w:rPr>
          <w:w w:val="115"/>
          <w:sz w:val="20"/>
        </w:rPr>
        <w:t>art.</w:t>
      </w:r>
      <w:r>
        <w:rPr>
          <w:spacing w:val="-4"/>
          <w:w w:val="115"/>
          <w:sz w:val="20"/>
        </w:rPr>
        <w:t> </w:t>
      </w:r>
      <w:r>
        <w:rPr>
          <w:w w:val="115"/>
          <w:sz w:val="20"/>
        </w:rPr>
        <w:t>1</w:t>
      </w:r>
      <w:r>
        <w:rPr>
          <w:spacing w:val="-4"/>
          <w:w w:val="115"/>
          <w:sz w:val="20"/>
        </w:rPr>
        <w:t> </w:t>
      </w:r>
      <w:r>
        <w:rPr>
          <w:w w:val="115"/>
          <w:sz w:val="20"/>
        </w:rPr>
        <w:t>alin.</w:t>
      </w:r>
      <w:r>
        <w:rPr>
          <w:spacing w:val="-4"/>
          <w:w w:val="115"/>
          <w:sz w:val="20"/>
        </w:rPr>
        <w:t> </w:t>
      </w:r>
      <w:r>
        <w:rPr>
          <w:w w:val="115"/>
          <w:sz w:val="20"/>
        </w:rPr>
        <w:t>(5)</w:t>
      </w:r>
      <w:r>
        <w:rPr>
          <w:spacing w:val="-3"/>
          <w:w w:val="115"/>
          <w:sz w:val="20"/>
        </w:rPr>
        <w:t> </w:t>
      </w:r>
      <w:r>
        <w:rPr>
          <w:w w:val="115"/>
          <w:sz w:val="20"/>
        </w:rPr>
        <w:t>din</w:t>
      </w:r>
      <w:r>
        <w:rPr>
          <w:spacing w:val="-3"/>
          <w:w w:val="115"/>
          <w:sz w:val="20"/>
        </w:rPr>
        <w:t> </w:t>
      </w:r>
      <w:r>
        <w:rPr>
          <w:w w:val="115"/>
          <w:sz w:val="20"/>
        </w:rPr>
        <w:t>Ordonanţa de urgenţă a Guvernului nr. 83/1999 privind restituirea unor bunuri imobile care au aparţinut comunităţilor cetăţenilor aparţinând minorităţilor naţionale din România, republicată, pentru perioada pentru care proprietarul menţine afectaţiunea de interes</w:t>
      </w:r>
      <w:r>
        <w:rPr>
          <w:spacing w:val="-13"/>
          <w:w w:val="115"/>
          <w:sz w:val="20"/>
        </w:rPr>
        <w:t> </w:t>
      </w:r>
      <w:r>
        <w:rPr>
          <w:w w:val="115"/>
          <w:sz w:val="20"/>
        </w:rPr>
        <w:t>public;</w:t>
      </w:r>
    </w:p>
    <w:p>
      <w:pPr>
        <w:pStyle w:val="ListParagraph"/>
        <w:numPr>
          <w:ilvl w:val="0"/>
          <w:numId w:val="12"/>
        </w:numPr>
        <w:tabs>
          <w:tab w:pos="863" w:val="left" w:leader="none"/>
        </w:tabs>
        <w:spacing w:line="271" w:lineRule="auto" w:before="110" w:after="0"/>
        <w:ind w:left="108" w:right="110" w:firstLine="516"/>
        <w:jc w:val="both"/>
        <w:rPr>
          <w:sz w:val="20"/>
        </w:rPr>
      </w:pPr>
      <w:r>
        <w:rPr>
          <w:w w:val="115"/>
          <w:sz w:val="20"/>
        </w:rPr>
        <w:t>Consiliul local acorda scutire la clădirile noi cu destinaţie de locuinţă, realizată în condiţiile Legii locuinţei nr. 114/1996, republicată, cu modificările şi completările ulterioare, precum şi clădirea cu</w:t>
      </w:r>
      <w:hyperlink r:id="rId10">
        <w:r>
          <w:rPr>
            <w:w w:val="115"/>
            <w:sz w:val="20"/>
          </w:rPr>
          <w:t> destinaţie de locuinţă, realizată pe bază de credite, în conformitate </w:t>
        </w:r>
        <w:r>
          <w:rPr>
            <w:spacing w:val="-4"/>
            <w:w w:val="115"/>
            <w:sz w:val="20"/>
          </w:rPr>
          <w:t>cu</w:t>
        </w:r>
        <w:r>
          <w:rPr>
            <w:color w:val="3DA7F6"/>
            <w:spacing w:val="-4"/>
            <w:w w:val="115"/>
            <w:sz w:val="20"/>
            <w:u w:val="single" w:color="3DA7F6"/>
          </w:rPr>
          <w:t> </w:t>
        </w:r>
        <w:r>
          <w:rPr>
            <w:color w:val="3DA7F6"/>
            <w:w w:val="115"/>
            <w:sz w:val="20"/>
            <w:u w:val="single" w:color="3DA7F6"/>
          </w:rPr>
          <w:t>Ordonanţa Guvernului nr.</w:t>
        </w:r>
        <w:r>
          <w:rPr>
            <w:color w:val="3DA7F6"/>
            <w:spacing w:val="52"/>
            <w:w w:val="115"/>
            <w:sz w:val="20"/>
            <w:u w:val="single" w:color="3DA7F6"/>
          </w:rPr>
          <w:t> </w:t>
        </w:r>
        <w:r>
          <w:rPr>
            <w:color w:val="3DA7F6"/>
            <w:w w:val="115"/>
            <w:sz w:val="20"/>
            <w:u w:val="single" w:color="3DA7F6"/>
          </w:rPr>
          <w:t>19/1994</w:t>
        </w:r>
        <w:r>
          <w:rPr>
            <w:color w:val="3DA7F6"/>
            <w:w w:val="115"/>
            <w:sz w:val="20"/>
          </w:rPr>
          <w:t> </w:t>
        </w:r>
        <w:r>
          <w:rPr>
            <w:w w:val="115"/>
            <w:sz w:val="20"/>
          </w:rPr>
          <w:t>privind stimularea investiţiilor pentru realizarea unor lucrări publice şi construcţii de locuinţe,</w:t>
        </w:r>
      </w:hyperlink>
      <w:r>
        <w:rPr>
          <w:w w:val="115"/>
          <w:sz w:val="20"/>
        </w:rPr>
        <w:t> aprobată cu modificări şi completări prin</w:t>
      </w:r>
      <w:hyperlink r:id="rId11">
        <w:r>
          <w:rPr>
            <w:color w:val="3DA7F6"/>
            <w:w w:val="115"/>
            <w:sz w:val="20"/>
            <w:u w:val="single" w:color="3DA7F6"/>
          </w:rPr>
          <w:t> Legea nr. 82/1995</w:t>
        </w:r>
      </w:hyperlink>
      <w:r>
        <w:rPr>
          <w:color w:val="3DA7F6"/>
          <w:w w:val="115"/>
          <w:sz w:val="20"/>
          <w:u w:val="single" w:color="3DA7F6"/>
        </w:rPr>
        <w:t>,</w:t>
      </w:r>
      <w:r>
        <w:rPr>
          <w:color w:val="3DA7F6"/>
          <w:w w:val="115"/>
          <w:sz w:val="20"/>
        </w:rPr>
        <w:t> </w:t>
      </w:r>
      <w:r>
        <w:rPr>
          <w:w w:val="115"/>
          <w:sz w:val="20"/>
        </w:rPr>
        <w:t>cu modificările şi completările ulterioare. În cazul înstrăinării clădirii, scutirea de impozit nu se aplică noului proprietar al</w:t>
      </w:r>
      <w:r>
        <w:rPr>
          <w:spacing w:val="-31"/>
          <w:w w:val="115"/>
          <w:sz w:val="20"/>
        </w:rPr>
        <w:t> </w:t>
      </w:r>
      <w:r>
        <w:rPr>
          <w:w w:val="115"/>
          <w:sz w:val="20"/>
        </w:rPr>
        <w:t>acesteia;</w:t>
      </w:r>
    </w:p>
    <w:p>
      <w:pPr>
        <w:pStyle w:val="ListParagraph"/>
        <w:numPr>
          <w:ilvl w:val="1"/>
          <w:numId w:val="12"/>
        </w:numPr>
        <w:tabs>
          <w:tab w:pos="1106" w:val="left" w:leader="none"/>
        </w:tabs>
        <w:spacing w:line="271" w:lineRule="auto" w:before="110" w:after="0"/>
        <w:ind w:left="108" w:right="117" w:firstLine="751"/>
        <w:jc w:val="both"/>
        <w:rPr>
          <w:sz w:val="20"/>
        </w:rPr>
      </w:pPr>
      <w:r>
        <w:rPr>
          <w:w w:val="115"/>
          <w:sz w:val="20"/>
        </w:rPr>
        <w:t>Consiliul local acorda scutire la clădirile afectate de calamităţi naturale, pentru o perioadă de până la 5 ani, începând cu 1 ianuarie a anului în care s-a produs</w:t>
      </w:r>
      <w:r>
        <w:rPr>
          <w:spacing w:val="-24"/>
          <w:w w:val="115"/>
          <w:sz w:val="20"/>
        </w:rPr>
        <w:t> </w:t>
      </w:r>
      <w:r>
        <w:rPr>
          <w:w w:val="115"/>
          <w:sz w:val="20"/>
        </w:rPr>
        <w:t>evenimentul;</w:t>
      </w:r>
    </w:p>
    <w:p>
      <w:pPr>
        <w:pStyle w:val="ListParagraph"/>
        <w:numPr>
          <w:ilvl w:val="0"/>
          <w:numId w:val="13"/>
        </w:numPr>
        <w:tabs>
          <w:tab w:pos="1335" w:val="left" w:leader="none"/>
        </w:tabs>
        <w:spacing w:line="271" w:lineRule="auto" w:before="108" w:after="0"/>
        <w:ind w:left="108" w:right="113" w:firstLine="1023"/>
        <w:jc w:val="both"/>
        <w:rPr>
          <w:sz w:val="20"/>
        </w:rPr>
      </w:pPr>
      <w:r>
        <w:rPr>
          <w:w w:val="115"/>
          <w:sz w:val="20"/>
        </w:rPr>
        <w:t>Consiliul local acorda scutire la clădirea folosită ca domiciliu şi/sau alte clădiri aflate în</w:t>
      </w:r>
      <w:hyperlink r:id="rId12">
        <w:r>
          <w:rPr>
            <w:w w:val="115"/>
            <w:sz w:val="20"/>
          </w:rPr>
          <w:t> proprietatea sau coproprietatea persoanelor prevăzute la art. 3 alin. (1) lit. b) şi art. 4 alin. (1) din</w:t>
        </w:r>
        <w:r>
          <w:rPr>
            <w:color w:val="3DA7F6"/>
            <w:w w:val="115"/>
            <w:sz w:val="20"/>
            <w:u w:val="single" w:color="3DA7F6"/>
          </w:rPr>
          <w:t> Legea nr. 341/2004,</w:t>
        </w:r>
        <w:r>
          <w:rPr>
            <w:color w:val="3DA7F6"/>
            <w:w w:val="115"/>
            <w:sz w:val="20"/>
          </w:rPr>
          <w:t> </w:t>
        </w:r>
        <w:r>
          <w:rPr>
            <w:w w:val="115"/>
            <w:sz w:val="20"/>
          </w:rPr>
          <w:t>cu modificările şi completările</w:t>
        </w:r>
        <w:r>
          <w:rPr>
            <w:spacing w:val="-14"/>
            <w:w w:val="115"/>
            <w:sz w:val="20"/>
          </w:rPr>
          <w:t> </w:t>
        </w:r>
        <w:r>
          <w:rPr>
            <w:w w:val="115"/>
            <w:sz w:val="20"/>
          </w:rPr>
          <w:t>ulterioare;</w:t>
        </w:r>
      </w:hyperlink>
    </w:p>
    <w:p>
      <w:pPr>
        <w:pStyle w:val="ListParagraph"/>
        <w:numPr>
          <w:ilvl w:val="0"/>
          <w:numId w:val="13"/>
        </w:numPr>
        <w:tabs>
          <w:tab w:pos="993" w:val="left" w:leader="none"/>
        </w:tabs>
        <w:spacing w:line="271" w:lineRule="auto" w:before="109" w:after="0"/>
        <w:ind w:left="108" w:right="113" w:firstLine="660"/>
        <w:jc w:val="both"/>
        <w:rPr>
          <w:sz w:val="20"/>
        </w:rPr>
      </w:pPr>
      <w:r>
        <w:rPr>
          <w:w w:val="115"/>
          <w:sz w:val="20"/>
        </w:rPr>
        <w:t>Consiliul local acorda reducere de 50% la clădirile aflate în proprietatea operatorilor economici, în condiţiile elaborării unor scheme de ajutor de stat/de minimis având un obiectiv prevăzut de legislaţia în domeniul ajutorului de</w:t>
      </w:r>
      <w:r>
        <w:rPr>
          <w:spacing w:val="-5"/>
          <w:w w:val="115"/>
          <w:sz w:val="20"/>
        </w:rPr>
        <w:t> </w:t>
      </w:r>
      <w:r>
        <w:rPr>
          <w:w w:val="115"/>
          <w:sz w:val="20"/>
        </w:rPr>
        <w:t>stat;</w:t>
      </w:r>
    </w:p>
    <w:p>
      <w:pPr>
        <w:pStyle w:val="ListParagraph"/>
        <w:numPr>
          <w:ilvl w:val="0"/>
          <w:numId w:val="13"/>
        </w:numPr>
        <w:tabs>
          <w:tab w:pos="975" w:val="left" w:leader="none"/>
        </w:tabs>
        <w:spacing w:line="271" w:lineRule="auto" w:before="109" w:after="0"/>
        <w:ind w:left="108" w:right="110" w:firstLine="694"/>
        <w:jc w:val="both"/>
        <w:rPr>
          <w:sz w:val="20"/>
        </w:rPr>
      </w:pPr>
      <w:r>
        <w:rPr>
          <w:w w:val="115"/>
          <w:sz w:val="20"/>
        </w:rPr>
        <w:t>Consiliul local acorda reducere de 50% la 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modificări şi completări prin</w:t>
      </w:r>
      <w:hyperlink r:id="rId13">
        <w:r>
          <w:rPr>
            <w:color w:val="3DA7F6"/>
            <w:w w:val="115"/>
            <w:sz w:val="20"/>
            <w:u w:val="single" w:color="3DA7F6"/>
          </w:rPr>
          <w:t> Legea nr. 158/2011</w:t>
        </w:r>
      </w:hyperlink>
      <w:r>
        <w:rPr>
          <w:color w:val="3DA7F6"/>
          <w:w w:val="115"/>
          <w:sz w:val="20"/>
          <w:u w:val="single" w:color="3DA7F6"/>
        </w:rPr>
        <w:t>,</w:t>
      </w:r>
      <w:r>
        <w:rPr>
          <w:color w:val="3DA7F6"/>
          <w:w w:val="115"/>
          <w:sz w:val="20"/>
        </w:rPr>
        <w:t> </w:t>
      </w:r>
      <w:r>
        <w:rPr>
          <w:w w:val="115"/>
          <w:sz w:val="20"/>
        </w:rPr>
        <w:t>cu modificările şi completările</w:t>
      </w:r>
      <w:r>
        <w:rPr>
          <w:spacing w:val="-35"/>
          <w:w w:val="115"/>
          <w:sz w:val="20"/>
        </w:rPr>
        <w:t> </w:t>
      </w:r>
      <w:r>
        <w:rPr>
          <w:w w:val="115"/>
          <w:sz w:val="20"/>
        </w:rPr>
        <w:t>ulterioare;</w:t>
      </w:r>
    </w:p>
    <w:p>
      <w:pPr>
        <w:pStyle w:val="ListParagraph"/>
        <w:numPr>
          <w:ilvl w:val="0"/>
          <w:numId w:val="13"/>
        </w:numPr>
        <w:tabs>
          <w:tab w:pos="1559" w:val="left" w:leader="none"/>
        </w:tabs>
        <w:spacing w:line="271" w:lineRule="auto" w:before="111" w:after="0"/>
        <w:ind w:left="108" w:right="113" w:firstLine="1114"/>
        <w:jc w:val="both"/>
        <w:rPr>
          <w:sz w:val="20"/>
        </w:rPr>
      </w:pPr>
      <w:r>
        <w:rPr>
          <w:w w:val="115"/>
          <w:sz w:val="20"/>
        </w:rPr>
        <w:t>Consiliul local acorda reducere de 50% la clădirile unde au fost executate lucrări în condiţiile</w:t>
      </w:r>
      <w:hyperlink r:id="rId14">
        <w:r>
          <w:rPr>
            <w:color w:val="3DA7F6"/>
            <w:w w:val="115"/>
            <w:sz w:val="20"/>
            <w:u w:val="single" w:color="3DA7F6"/>
          </w:rPr>
          <w:t> Legii nr. 153/2011</w:t>
        </w:r>
        <w:r>
          <w:rPr>
            <w:color w:val="3DA7F6"/>
            <w:w w:val="115"/>
            <w:sz w:val="20"/>
          </w:rPr>
          <w:t> </w:t>
        </w:r>
      </w:hyperlink>
      <w:r>
        <w:rPr>
          <w:w w:val="115"/>
          <w:sz w:val="20"/>
        </w:rPr>
        <w:t>privind măsuri de creştere a calităţii arhitectural-ambientale a clădirilor, cu modificările şi completările</w:t>
      </w:r>
      <w:r>
        <w:rPr>
          <w:spacing w:val="-4"/>
          <w:w w:val="115"/>
          <w:sz w:val="20"/>
        </w:rPr>
        <w:t> </w:t>
      </w:r>
      <w:r>
        <w:rPr>
          <w:w w:val="115"/>
          <w:sz w:val="20"/>
        </w:rPr>
        <w:t>ulterioare;</w:t>
      </w:r>
    </w:p>
    <w:p>
      <w:pPr>
        <w:pStyle w:val="ListParagraph"/>
        <w:numPr>
          <w:ilvl w:val="0"/>
          <w:numId w:val="13"/>
        </w:numPr>
        <w:tabs>
          <w:tab w:pos="1222" w:val="left" w:leader="none"/>
          <w:tab w:pos="5370" w:val="left" w:leader="none"/>
        </w:tabs>
        <w:spacing w:line="240" w:lineRule="auto" w:before="109" w:after="0"/>
        <w:ind w:left="1221" w:right="0" w:hanging="247"/>
        <w:jc w:val="left"/>
        <w:rPr>
          <w:sz w:val="20"/>
        </w:rPr>
      </w:pPr>
      <w:r>
        <w:rPr>
          <w:w w:val="115"/>
          <w:sz w:val="20"/>
        </w:rPr>
        <w:t>Consiliul local acorda reducere de</w:t>
      </w:r>
      <w:r>
        <w:rPr>
          <w:spacing w:val="50"/>
          <w:w w:val="115"/>
          <w:sz w:val="20"/>
        </w:rPr>
        <w:t> </w:t>
      </w:r>
      <w:r>
        <w:rPr>
          <w:w w:val="115"/>
          <w:sz w:val="20"/>
        </w:rPr>
        <w:t>50%</w:t>
      </w:r>
      <w:r>
        <w:rPr>
          <w:spacing w:val="10"/>
          <w:w w:val="115"/>
          <w:sz w:val="20"/>
        </w:rPr>
        <w:t> </w:t>
      </w:r>
      <w:r>
        <w:rPr>
          <w:w w:val="115"/>
          <w:sz w:val="20"/>
        </w:rPr>
        <w:t>la</w:t>
        <w:tab/>
        <w:t>clădirile deţinute de cooperaţiile de consum</w:t>
      </w:r>
      <w:r>
        <w:rPr>
          <w:spacing w:val="47"/>
          <w:w w:val="115"/>
          <w:sz w:val="20"/>
        </w:rPr>
        <w:t> </w:t>
      </w:r>
      <w:r>
        <w:rPr>
          <w:w w:val="115"/>
          <w:sz w:val="20"/>
        </w:rPr>
        <w:t>sau</w:t>
      </w:r>
    </w:p>
    <w:p>
      <w:pPr>
        <w:spacing w:after="0" w:line="240" w:lineRule="auto"/>
        <w:jc w:val="left"/>
        <w:rPr>
          <w:sz w:val="20"/>
        </w:rPr>
        <w:sectPr>
          <w:pgSz w:w="11900" w:h="16840"/>
          <w:pgMar w:header="0" w:footer="341" w:top="500" w:bottom="560" w:left="1140" w:right="740"/>
        </w:sectPr>
      </w:pPr>
    </w:p>
    <w:p>
      <w:pPr>
        <w:pStyle w:val="BodyText"/>
        <w:spacing w:line="271" w:lineRule="auto" w:before="100"/>
        <w:ind w:left="107" w:right="107"/>
      </w:pPr>
      <w:r>
        <w:rPr>
          <w:w w:val="115"/>
        </w:rPr>
        <w:t>meşteşugăreşti şi de societăţile cooperative agricole, în condiţiile elaborării unor scheme de ajutor de stat/de minimis având un obiectiv prevăzut de legislaţia în domeniul ajutorului de stat;</w:t>
      </w:r>
    </w:p>
    <w:p>
      <w:pPr>
        <w:pStyle w:val="ListParagraph"/>
        <w:numPr>
          <w:ilvl w:val="0"/>
          <w:numId w:val="13"/>
        </w:numPr>
        <w:tabs>
          <w:tab w:pos="1304" w:val="left" w:leader="none"/>
          <w:tab w:pos="5646" w:val="left" w:leader="none"/>
        </w:tabs>
        <w:spacing w:line="271" w:lineRule="auto" w:before="109" w:after="0"/>
        <w:ind w:left="108" w:right="113" w:firstLine="938"/>
        <w:jc w:val="left"/>
        <w:rPr>
          <w:sz w:val="20"/>
        </w:rPr>
      </w:pPr>
      <w:r>
        <w:rPr>
          <w:w w:val="115"/>
          <w:sz w:val="20"/>
        </w:rPr>
        <w:t>Consiliul</w:t>
      </w:r>
      <w:r>
        <w:rPr>
          <w:spacing w:val="21"/>
          <w:w w:val="115"/>
          <w:sz w:val="20"/>
        </w:rPr>
        <w:t> </w:t>
      </w:r>
      <w:r>
        <w:rPr>
          <w:w w:val="115"/>
          <w:sz w:val="20"/>
        </w:rPr>
        <w:t>local</w:t>
      </w:r>
      <w:r>
        <w:rPr>
          <w:spacing w:val="21"/>
          <w:w w:val="115"/>
          <w:sz w:val="20"/>
        </w:rPr>
        <w:t> </w:t>
      </w:r>
      <w:r>
        <w:rPr>
          <w:w w:val="115"/>
          <w:sz w:val="20"/>
        </w:rPr>
        <w:t>acorda</w:t>
      </w:r>
      <w:r>
        <w:rPr>
          <w:spacing w:val="21"/>
          <w:w w:val="115"/>
          <w:sz w:val="20"/>
        </w:rPr>
        <w:t> </w:t>
      </w:r>
      <w:r>
        <w:rPr>
          <w:w w:val="115"/>
          <w:sz w:val="20"/>
        </w:rPr>
        <w:t>reducere</w:t>
      </w:r>
      <w:r>
        <w:rPr>
          <w:spacing w:val="21"/>
          <w:w w:val="115"/>
          <w:sz w:val="20"/>
        </w:rPr>
        <w:t> </w:t>
      </w:r>
      <w:r>
        <w:rPr>
          <w:w w:val="115"/>
          <w:sz w:val="20"/>
        </w:rPr>
        <w:t>de</w:t>
      </w:r>
      <w:r>
        <w:rPr>
          <w:spacing w:val="21"/>
          <w:w w:val="115"/>
          <w:sz w:val="20"/>
        </w:rPr>
        <w:t> </w:t>
      </w:r>
      <w:r>
        <w:rPr>
          <w:w w:val="115"/>
          <w:sz w:val="20"/>
        </w:rPr>
        <w:t>50%</w:t>
      </w:r>
      <w:r>
        <w:rPr>
          <w:spacing w:val="22"/>
          <w:w w:val="115"/>
          <w:sz w:val="20"/>
        </w:rPr>
        <w:t> </w:t>
      </w:r>
      <w:r>
        <w:rPr>
          <w:w w:val="115"/>
          <w:sz w:val="20"/>
        </w:rPr>
        <w:t>la</w:t>
        <w:tab/>
        <w:t>clădirile deţinute de asociaţiile de dezvoltare intercomunitară.</w:t>
      </w:r>
    </w:p>
    <w:p>
      <w:pPr>
        <w:pStyle w:val="ListParagraph"/>
        <w:numPr>
          <w:ilvl w:val="0"/>
          <w:numId w:val="13"/>
        </w:numPr>
        <w:tabs>
          <w:tab w:pos="1635" w:val="left" w:leader="none"/>
        </w:tabs>
        <w:spacing w:line="271" w:lineRule="auto" w:before="108" w:after="0"/>
        <w:ind w:left="108" w:right="110" w:firstLine="1274"/>
        <w:jc w:val="left"/>
        <w:rPr>
          <w:sz w:val="20"/>
        </w:rPr>
      </w:pPr>
      <w:r>
        <w:rPr>
          <w:w w:val="115"/>
          <w:sz w:val="20"/>
        </w:rPr>
        <w:t>Consiliul local acorda scutire clădirile folosite pentru desfăşurarea de activităţi sportive, inclusiv clădirile care asigură funcţionarea bazelor</w:t>
      </w:r>
      <w:r>
        <w:rPr>
          <w:spacing w:val="-9"/>
          <w:w w:val="115"/>
          <w:sz w:val="20"/>
        </w:rPr>
        <w:t> </w:t>
      </w:r>
      <w:r>
        <w:rPr>
          <w:w w:val="115"/>
          <w:sz w:val="20"/>
        </w:rPr>
        <w:t>sportive</w:t>
      </w:r>
    </w:p>
    <w:p>
      <w:pPr>
        <w:pStyle w:val="ListParagraph"/>
        <w:numPr>
          <w:ilvl w:val="0"/>
          <w:numId w:val="14"/>
        </w:numPr>
        <w:tabs>
          <w:tab w:pos="400" w:val="left" w:leader="none"/>
        </w:tabs>
        <w:spacing w:line="271" w:lineRule="auto" w:before="109" w:after="0"/>
        <w:ind w:left="108" w:right="120" w:firstLine="0"/>
        <w:jc w:val="both"/>
        <w:rPr>
          <w:sz w:val="20"/>
        </w:rPr>
      </w:pPr>
      <w:r>
        <w:rPr>
          <w:w w:val="115"/>
          <w:sz w:val="20"/>
        </w:rPr>
        <w:t>Scutirea sau reducerea de la plata impozitului/taxei, se aplică începând cu data de 1 ianuarie a anului următor celui în care persoana depune documentele</w:t>
      </w:r>
      <w:r>
        <w:rPr>
          <w:spacing w:val="-13"/>
          <w:w w:val="115"/>
          <w:sz w:val="20"/>
        </w:rPr>
        <w:t> </w:t>
      </w:r>
      <w:r>
        <w:rPr>
          <w:w w:val="115"/>
          <w:sz w:val="20"/>
        </w:rPr>
        <w:t>justificative.</w:t>
      </w:r>
    </w:p>
    <w:p>
      <w:pPr>
        <w:pStyle w:val="ListParagraph"/>
        <w:numPr>
          <w:ilvl w:val="0"/>
          <w:numId w:val="14"/>
        </w:numPr>
        <w:tabs>
          <w:tab w:pos="431" w:val="left" w:leader="none"/>
        </w:tabs>
        <w:spacing w:line="271" w:lineRule="auto" w:before="108" w:after="0"/>
        <w:ind w:left="108" w:right="111" w:firstLine="0"/>
        <w:jc w:val="both"/>
        <w:rPr>
          <w:sz w:val="20"/>
        </w:rPr>
      </w:pPr>
      <w:r>
        <w:rPr>
          <w:w w:val="115"/>
          <w:sz w:val="20"/>
        </w:rPr>
        <w:t>Impozitul pe clădirile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w:t>
      </w:r>
      <w:r>
        <w:rPr>
          <w:spacing w:val="-1"/>
          <w:w w:val="115"/>
          <w:sz w:val="20"/>
        </w:rPr>
        <w:t> </w:t>
      </w:r>
      <w:r>
        <w:rPr>
          <w:w w:val="115"/>
          <w:sz w:val="20"/>
        </w:rPr>
        <w:t>condiţie.</w:t>
      </w:r>
    </w:p>
    <w:p>
      <w:pPr>
        <w:pStyle w:val="BodyText"/>
        <w:spacing w:line="271" w:lineRule="auto" w:before="110"/>
        <w:ind w:left="107" w:right="114"/>
      </w:pPr>
      <w:r>
        <w:rPr>
          <w:rFonts w:ascii="Arial" w:hAnsi="Arial"/>
          <w:b/>
          <w:w w:val="110"/>
        </w:rPr>
        <w:t>Art.2</w:t>
      </w:r>
      <w:r>
        <w:rPr>
          <w:w w:val="110"/>
        </w:rPr>
        <w:t>. Pentru </w:t>
      </w:r>
      <w:r>
        <w:rPr>
          <w:rFonts w:ascii="Arial" w:hAnsi="Arial"/>
          <w:b/>
          <w:w w:val="110"/>
        </w:rPr>
        <w:t>IMPOZITUL/ TAXA PE TEREN </w:t>
      </w:r>
      <w:r>
        <w:rPr>
          <w:w w:val="110"/>
        </w:rPr>
        <w:t>se utilizeaza Rangul IV, zona A pentru satul Costuleni și Rangul V, Zona A pentru satele componente ale Comunei Costuleni, Hilița, Covasna și Cozia.</w:t>
      </w:r>
    </w:p>
    <w:p>
      <w:pPr>
        <w:pStyle w:val="BodyText"/>
        <w:spacing w:before="11"/>
        <w:ind w:left="0"/>
        <w:jc w:val="left"/>
        <w:rPr>
          <w:sz w:val="21"/>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1658"/>
        <w:gridCol w:w="4422"/>
        <w:gridCol w:w="3700"/>
      </w:tblGrid>
      <w:tr>
        <w:trPr>
          <w:trHeight w:val="363" w:hRule="atLeast"/>
        </w:trPr>
        <w:tc>
          <w:tcPr>
            <w:tcW w:w="1658" w:type="dxa"/>
            <w:vMerge w:val="restart"/>
          </w:tcPr>
          <w:p>
            <w:pPr>
              <w:pStyle w:val="TableParagraph"/>
              <w:tabs>
                <w:tab w:pos="1153" w:val="left" w:leader="none"/>
              </w:tabs>
              <w:spacing w:line="271" w:lineRule="auto"/>
              <w:ind w:right="309"/>
              <w:rPr>
                <w:sz w:val="20"/>
              </w:rPr>
            </w:pPr>
            <w:r>
              <w:rPr>
                <w:w w:val="115"/>
                <w:sz w:val="20"/>
              </w:rPr>
              <w:t>Zona</w:t>
              <w:tab/>
            </w:r>
            <w:r>
              <w:rPr>
                <w:spacing w:val="-13"/>
                <w:w w:val="115"/>
                <w:sz w:val="20"/>
              </w:rPr>
              <w:t>in </w:t>
            </w:r>
            <w:r>
              <w:rPr>
                <w:w w:val="115"/>
                <w:sz w:val="20"/>
              </w:rPr>
              <w:t>cadrul localității</w:t>
            </w:r>
          </w:p>
        </w:tc>
        <w:tc>
          <w:tcPr>
            <w:tcW w:w="8122" w:type="dxa"/>
            <w:gridSpan w:val="2"/>
          </w:tcPr>
          <w:p>
            <w:pPr>
              <w:pStyle w:val="TableParagraph"/>
              <w:ind w:left="113"/>
              <w:rPr>
                <w:sz w:val="20"/>
              </w:rPr>
            </w:pPr>
            <w:r>
              <w:rPr>
                <w:w w:val="115"/>
                <w:sz w:val="20"/>
              </w:rPr>
              <w:t>Nivelul impozitului/taxei pe ranguri de localități Lei/ha</w:t>
            </w:r>
          </w:p>
        </w:tc>
      </w:tr>
      <w:tr>
        <w:trPr>
          <w:trHeight w:val="532" w:hRule="atLeast"/>
        </w:trPr>
        <w:tc>
          <w:tcPr>
            <w:tcW w:w="1658" w:type="dxa"/>
            <w:vMerge/>
            <w:tcBorders>
              <w:top w:val="nil"/>
            </w:tcBorders>
          </w:tcPr>
          <w:p>
            <w:pPr>
              <w:rPr>
                <w:sz w:val="2"/>
                <w:szCs w:val="2"/>
              </w:rPr>
            </w:pPr>
          </w:p>
        </w:tc>
        <w:tc>
          <w:tcPr>
            <w:tcW w:w="4422" w:type="dxa"/>
          </w:tcPr>
          <w:p>
            <w:pPr>
              <w:pStyle w:val="TableParagraph"/>
              <w:spacing w:before="71"/>
              <w:ind w:left="113"/>
              <w:rPr>
                <w:rFonts w:ascii="Arial"/>
                <w:b/>
                <w:sz w:val="20"/>
              </w:rPr>
            </w:pPr>
            <w:r>
              <w:rPr>
                <w:rFonts w:ascii="Arial"/>
                <w:b/>
                <w:sz w:val="20"/>
              </w:rPr>
              <w:t>IV</w:t>
            </w:r>
          </w:p>
        </w:tc>
        <w:tc>
          <w:tcPr>
            <w:tcW w:w="3700" w:type="dxa"/>
          </w:tcPr>
          <w:p>
            <w:pPr>
              <w:pStyle w:val="TableParagraph"/>
              <w:spacing w:before="71"/>
              <w:ind w:left="113"/>
              <w:rPr>
                <w:rFonts w:ascii="Arial"/>
                <w:b/>
                <w:sz w:val="20"/>
              </w:rPr>
            </w:pPr>
            <w:r>
              <w:rPr>
                <w:rFonts w:ascii="Arial"/>
                <w:b/>
                <w:w w:val="93"/>
                <w:sz w:val="20"/>
              </w:rPr>
              <w:t>V</w:t>
            </w:r>
          </w:p>
        </w:tc>
      </w:tr>
      <w:tr>
        <w:trPr>
          <w:trHeight w:val="363" w:hRule="atLeast"/>
        </w:trPr>
        <w:tc>
          <w:tcPr>
            <w:tcW w:w="1658" w:type="dxa"/>
          </w:tcPr>
          <w:p>
            <w:pPr>
              <w:pStyle w:val="TableParagraph"/>
              <w:spacing w:before="71"/>
              <w:rPr>
                <w:rFonts w:ascii="Arial"/>
                <w:b/>
                <w:sz w:val="20"/>
              </w:rPr>
            </w:pPr>
            <w:r>
              <w:rPr>
                <w:rFonts w:ascii="Arial"/>
                <w:b/>
                <w:w w:val="91"/>
                <w:sz w:val="20"/>
              </w:rPr>
              <w:t>A</w:t>
            </w:r>
          </w:p>
        </w:tc>
        <w:tc>
          <w:tcPr>
            <w:tcW w:w="4422" w:type="dxa"/>
          </w:tcPr>
          <w:p>
            <w:pPr>
              <w:pStyle w:val="TableParagraph"/>
              <w:spacing w:before="71"/>
              <w:ind w:left="113"/>
              <w:rPr>
                <w:rFonts w:ascii="Arial"/>
                <w:b/>
                <w:sz w:val="20"/>
              </w:rPr>
            </w:pPr>
            <w:r>
              <w:rPr>
                <w:rFonts w:ascii="Arial"/>
                <w:b/>
                <w:w w:val="105"/>
                <w:sz w:val="20"/>
              </w:rPr>
              <w:t>873</w:t>
            </w:r>
          </w:p>
        </w:tc>
        <w:tc>
          <w:tcPr>
            <w:tcW w:w="3700" w:type="dxa"/>
          </w:tcPr>
          <w:p>
            <w:pPr>
              <w:pStyle w:val="TableParagraph"/>
              <w:spacing w:before="71"/>
              <w:ind w:left="113"/>
              <w:rPr>
                <w:rFonts w:ascii="Arial"/>
                <w:b/>
                <w:sz w:val="20"/>
              </w:rPr>
            </w:pPr>
            <w:r>
              <w:rPr>
                <w:rFonts w:ascii="Arial"/>
                <w:b/>
                <w:w w:val="105"/>
                <w:sz w:val="20"/>
              </w:rPr>
              <w:t>837</w:t>
            </w:r>
          </w:p>
        </w:tc>
      </w:tr>
    </w:tbl>
    <w:p>
      <w:pPr>
        <w:pStyle w:val="ListParagraph"/>
        <w:numPr>
          <w:ilvl w:val="1"/>
          <w:numId w:val="14"/>
        </w:numPr>
        <w:tabs>
          <w:tab w:pos="558" w:val="left" w:leader="none"/>
        </w:tabs>
        <w:spacing w:line="271" w:lineRule="auto" w:before="208" w:after="0"/>
        <w:ind w:left="108" w:right="110" w:firstLine="282"/>
        <w:jc w:val="both"/>
        <w:rPr>
          <w:sz w:val="20"/>
        </w:rPr>
      </w:pPr>
      <w:r>
        <w:rPr>
          <w:w w:val="115"/>
          <w:sz w:val="20"/>
        </w:rPr>
        <w:t>In cazul unui teren amplasat în </w:t>
      </w:r>
      <w:r>
        <w:rPr>
          <w:rFonts w:ascii="Arial" w:hAnsi="Arial"/>
          <w:b/>
          <w:w w:val="115"/>
          <w:sz w:val="20"/>
        </w:rPr>
        <w:t>intravilan</w:t>
      </w:r>
      <w:r>
        <w:rPr>
          <w:w w:val="115"/>
          <w:sz w:val="20"/>
        </w:rPr>
        <w:t>,înregistrat în registrul agricol la categoria de folosință trenuri cu construcții,impozitul/taxa pe teren se stabilește prin înmulțirea suprafeței terenului,exprimata în</w:t>
      </w:r>
      <w:r>
        <w:rPr>
          <w:spacing w:val="29"/>
          <w:w w:val="115"/>
          <w:sz w:val="20"/>
        </w:rPr>
        <w:t> </w:t>
      </w:r>
      <w:r>
        <w:rPr>
          <w:w w:val="115"/>
          <w:sz w:val="20"/>
        </w:rPr>
        <w:t>hectare,cu</w:t>
      </w:r>
      <w:r>
        <w:rPr>
          <w:spacing w:val="29"/>
          <w:w w:val="115"/>
          <w:sz w:val="20"/>
        </w:rPr>
        <w:t> </w:t>
      </w:r>
      <w:r>
        <w:rPr>
          <w:w w:val="115"/>
          <w:sz w:val="20"/>
        </w:rPr>
        <w:t>suma</w:t>
      </w:r>
      <w:r>
        <w:rPr>
          <w:spacing w:val="29"/>
          <w:w w:val="115"/>
          <w:sz w:val="20"/>
        </w:rPr>
        <w:t> </w:t>
      </w:r>
      <w:r>
        <w:rPr>
          <w:w w:val="115"/>
          <w:sz w:val="20"/>
        </w:rPr>
        <w:t>corespunzătoare</w:t>
      </w:r>
      <w:r>
        <w:rPr>
          <w:spacing w:val="29"/>
          <w:w w:val="115"/>
          <w:sz w:val="20"/>
        </w:rPr>
        <w:t> </w:t>
      </w:r>
      <w:r>
        <w:rPr>
          <w:w w:val="115"/>
          <w:sz w:val="20"/>
        </w:rPr>
        <w:t>prevăzută</w:t>
      </w:r>
      <w:r>
        <w:rPr>
          <w:spacing w:val="29"/>
          <w:w w:val="115"/>
          <w:sz w:val="20"/>
        </w:rPr>
        <w:t> </w:t>
      </w:r>
      <w:r>
        <w:rPr>
          <w:w w:val="115"/>
          <w:sz w:val="20"/>
        </w:rPr>
        <w:t>în</w:t>
      </w:r>
      <w:r>
        <w:rPr>
          <w:spacing w:val="29"/>
          <w:w w:val="115"/>
          <w:sz w:val="20"/>
        </w:rPr>
        <w:t> </w:t>
      </w:r>
      <w:r>
        <w:rPr>
          <w:w w:val="115"/>
          <w:sz w:val="20"/>
        </w:rPr>
        <w:t>urmatorul</w:t>
      </w:r>
      <w:r>
        <w:rPr>
          <w:spacing w:val="29"/>
          <w:w w:val="115"/>
          <w:sz w:val="20"/>
        </w:rPr>
        <w:t> </w:t>
      </w:r>
      <w:r>
        <w:rPr>
          <w:w w:val="115"/>
          <w:sz w:val="20"/>
        </w:rPr>
        <w:t>table:</w:t>
      </w:r>
    </w:p>
    <w:p>
      <w:pPr>
        <w:pStyle w:val="ListParagraph"/>
        <w:numPr>
          <w:ilvl w:val="1"/>
          <w:numId w:val="14"/>
        </w:numPr>
        <w:tabs>
          <w:tab w:pos="7712" w:val="left" w:leader="none"/>
        </w:tabs>
        <w:spacing w:line="271" w:lineRule="auto" w:before="2" w:after="0"/>
        <w:ind w:left="108" w:right="108" w:firstLine="7436"/>
        <w:jc w:val="both"/>
        <w:rPr>
          <w:sz w:val="20"/>
        </w:rPr>
      </w:pPr>
      <w:r>
        <w:rPr>
          <w:w w:val="115"/>
          <w:sz w:val="20"/>
        </w:rPr>
        <w:t>Impozitul/taxa pe</w:t>
      </w:r>
      <w:r>
        <w:rPr>
          <w:spacing w:val="-29"/>
          <w:w w:val="115"/>
          <w:sz w:val="20"/>
        </w:rPr>
        <w:t> </w:t>
      </w:r>
      <w:r>
        <w:rPr>
          <w:w w:val="115"/>
          <w:sz w:val="20"/>
        </w:rPr>
        <w:t>teren amplasat</w:t>
      </w:r>
      <w:r>
        <w:rPr>
          <w:spacing w:val="-5"/>
          <w:w w:val="115"/>
          <w:sz w:val="20"/>
        </w:rPr>
        <w:t> </w:t>
      </w:r>
      <w:r>
        <w:rPr>
          <w:w w:val="115"/>
          <w:sz w:val="20"/>
        </w:rPr>
        <w:t>în</w:t>
      </w:r>
      <w:r>
        <w:rPr>
          <w:spacing w:val="-5"/>
          <w:w w:val="115"/>
          <w:sz w:val="20"/>
        </w:rPr>
        <w:t> </w:t>
      </w:r>
      <w:r>
        <w:rPr>
          <w:w w:val="115"/>
          <w:sz w:val="20"/>
        </w:rPr>
        <w:t>intravilan,</w:t>
      </w:r>
      <w:r>
        <w:rPr>
          <w:spacing w:val="-5"/>
          <w:w w:val="115"/>
          <w:sz w:val="20"/>
        </w:rPr>
        <w:t> </w:t>
      </w:r>
      <w:r>
        <w:rPr>
          <w:w w:val="115"/>
          <w:sz w:val="20"/>
        </w:rPr>
        <w:t>înregistrat</w:t>
      </w:r>
      <w:r>
        <w:rPr>
          <w:spacing w:val="-5"/>
          <w:w w:val="115"/>
          <w:sz w:val="20"/>
        </w:rPr>
        <w:t> </w:t>
      </w:r>
      <w:r>
        <w:rPr>
          <w:w w:val="115"/>
          <w:sz w:val="20"/>
        </w:rPr>
        <w:t>în</w:t>
      </w:r>
      <w:r>
        <w:rPr>
          <w:spacing w:val="-5"/>
          <w:w w:val="115"/>
          <w:sz w:val="20"/>
        </w:rPr>
        <w:t> </w:t>
      </w:r>
      <w:r>
        <w:rPr>
          <w:w w:val="115"/>
          <w:sz w:val="20"/>
        </w:rPr>
        <w:t>registrul</w:t>
      </w:r>
      <w:r>
        <w:rPr>
          <w:spacing w:val="-4"/>
          <w:w w:val="115"/>
          <w:sz w:val="20"/>
        </w:rPr>
        <w:t> </w:t>
      </w:r>
      <w:r>
        <w:rPr>
          <w:w w:val="115"/>
          <w:sz w:val="20"/>
        </w:rPr>
        <w:t>agricol</w:t>
      </w:r>
      <w:r>
        <w:rPr>
          <w:spacing w:val="-5"/>
          <w:w w:val="115"/>
          <w:sz w:val="20"/>
        </w:rPr>
        <w:t> </w:t>
      </w:r>
      <w:r>
        <w:rPr>
          <w:w w:val="115"/>
          <w:sz w:val="20"/>
        </w:rPr>
        <w:t>la</w:t>
      </w:r>
      <w:r>
        <w:rPr>
          <w:spacing w:val="-5"/>
          <w:w w:val="115"/>
          <w:sz w:val="20"/>
        </w:rPr>
        <w:t> </w:t>
      </w:r>
      <w:r>
        <w:rPr>
          <w:w w:val="115"/>
          <w:sz w:val="20"/>
        </w:rPr>
        <w:t>altă</w:t>
      </w:r>
      <w:r>
        <w:rPr>
          <w:spacing w:val="-5"/>
          <w:w w:val="115"/>
          <w:sz w:val="20"/>
        </w:rPr>
        <w:t> </w:t>
      </w:r>
      <w:r>
        <w:rPr>
          <w:w w:val="115"/>
          <w:sz w:val="20"/>
        </w:rPr>
        <w:t>categorie</w:t>
      </w:r>
      <w:r>
        <w:rPr>
          <w:spacing w:val="-5"/>
          <w:w w:val="115"/>
          <w:sz w:val="20"/>
        </w:rPr>
        <w:t> </w:t>
      </w:r>
      <w:r>
        <w:rPr>
          <w:w w:val="115"/>
          <w:sz w:val="20"/>
        </w:rPr>
        <w:t>de</w:t>
      </w:r>
      <w:r>
        <w:rPr>
          <w:spacing w:val="-4"/>
          <w:w w:val="115"/>
          <w:sz w:val="20"/>
        </w:rPr>
        <w:t> </w:t>
      </w:r>
      <w:r>
        <w:rPr>
          <w:w w:val="115"/>
          <w:sz w:val="20"/>
        </w:rPr>
        <w:t>folosinţă</w:t>
      </w:r>
      <w:r>
        <w:rPr>
          <w:spacing w:val="-5"/>
          <w:w w:val="115"/>
          <w:sz w:val="20"/>
        </w:rPr>
        <w:t> </w:t>
      </w:r>
      <w:r>
        <w:rPr>
          <w:w w:val="115"/>
          <w:sz w:val="20"/>
        </w:rPr>
        <w:t>decât</w:t>
      </w:r>
      <w:r>
        <w:rPr>
          <w:spacing w:val="-5"/>
          <w:w w:val="115"/>
          <w:sz w:val="20"/>
        </w:rPr>
        <w:t> </w:t>
      </w:r>
      <w:r>
        <w:rPr>
          <w:w w:val="115"/>
          <w:sz w:val="20"/>
        </w:rPr>
        <w:t>cea</w:t>
      </w:r>
      <w:r>
        <w:rPr>
          <w:spacing w:val="-5"/>
          <w:w w:val="115"/>
          <w:sz w:val="20"/>
        </w:rPr>
        <w:t> </w:t>
      </w:r>
      <w:r>
        <w:rPr>
          <w:w w:val="115"/>
          <w:sz w:val="20"/>
        </w:rPr>
        <w:t>de</w:t>
      </w:r>
      <w:r>
        <w:rPr>
          <w:spacing w:val="-5"/>
          <w:w w:val="115"/>
          <w:sz w:val="20"/>
        </w:rPr>
        <w:t> </w:t>
      </w:r>
      <w:r>
        <w:rPr>
          <w:w w:val="115"/>
          <w:sz w:val="20"/>
        </w:rPr>
        <w:t>terenuri</w:t>
      </w:r>
      <w:r>
        <w:rPr>
          <w:spacing w:val="-4"/>
          <w:w w:val="115"/>
          <w:sz w:val="20"/>
        </w:rPr>
        <w:t> </w:t>
      </w:r>
      <w:r>
        <w:rPr>
          <w:w w:val="115"/>
          <w:sz w:val="20"/>
        </w:rPr>
        <w:t>cu construcţii, impozitul-taxa pe teren se stabileşte prin înmulţirea suprafeţei terenului,exprimată în hectare,cu suma corespunzătoare prevăzută in tabelul de mai jos,iar acest rezultat se înmulţeşte cu coeficientul de corecţie corespunzător de </w:t>
      </w:r>
      <w:r>
        <w:rPr>
          <w:rFonts w:ascii="Arial" w:hAnsi="Arial"/>
          <w:b/>
          <w:w w:val="115"/>
          <w:sz w:val="20"/>
        </w:rPr>
        <w:t>1,10 </w:t>
      </w:r>
      <w:r>
        <w:rPr>
          <w:w w:val="115"/>
          <w:sz w:val="20"/>
        </w:rPr>
        <w:t>pentru  terenurile din localitățile de rangul IV , repectiv   </w:t>
      </w:r>
      <w:r>
        <w:rPr>
          <w:rFonts w:ascii="Arial" w:hAnsi="Arial"/>
          <w:b/>
          <w:w w:val="115"/>
          <w:sz w:val="20"/>
        </w:rPr>
        <w:t>1 </w:t>
      </w:r>
      <w:r>
        <w:rPr>
          <w:w w:val="115"/>
          <w:sz w:val="20"/>
        </w:rPr>
        <w:t>pentru localitățile de rangul V</w:t>
      </w:r>
      <w:r>
        <w:rPr>
          <w:spacing w:val="-17"/>
          <w:w w:val="115"/>
          <w:sz w:val="20"/>
        </w:rPr>
        <w:t> </w:t>
      </w:r>
      <w:r>
        <w:rPr>
          <w:w w:val="115"/>
          <w:sz w:val="20"/>
        </w:rPr>
        <w:t>.</w:t>
      </w:r>
    </w:p>
    <w:p>
      <w:pPr>
        <w:pStyle w:val="BodyText"/>
        <w:spacing w:before="4"/>
        <w:ind w:left="0"/>
        <w:jc w:val="left"/>
        <w:rPr>
          <w:sz w:val="13"/>
        </w:rPr>
      </w:pPr>
    </w:p>
    <w:tbl>
      <w:tblPr>
        <w:tblW w:w="0" w:type="auto"/>
        <w:jc w:val="left"/>
        <w:tblInd w:w="89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783"/>
        <w:gridCol w:w="4714"/>
        <w:gridCol w:w="2733"/>
      </w:tblGrid>
      <w:tr>
        <w:trPr>
          <w:trHeight w:val="363" w:hRule="atLeast"/>
        </w:trPr>
        <w:tc>
          <w:tcPr>
            <w:tcW w:w="783" w:type="dxa"/>
          </w:tcPr>
          <w:p>
            <w:pPr>
              <w:pStyle w:val="TableParagraph"/>
              <w:rPr>
                <w:sz w:val="20"/>
              </w:rPr>
            </w:pPr>
            <w:r>
              <w:rPr>
                <w:w w:val="110"/>
                <w:sz w:val="20"/>
              </w:rPr>
              <w:t>Nr.crt</w:t>
            </w:r>
          </w:p>
        </w:tc>
        <w:tc>
          <w:tcPr>
            <w:tcW w:w="4714" w:type="dxa"/>
          </w:tcPr>
          <w:p>
            <w:pPr>
              <w:pStyle w:val="TableParagraph"/>
              <w:rPr>
                <w:sz w:val="20"/>
              </w:rPr>
            </w:pPr>
            <w:r>
              <w:rPr>
                <w:w w:val="115"/>
                <w:sz w:val="20"/>
              </w:rPr>
              <w:t>Categoria de folosinţă</w:t>
            </w:r>
          </w:p>
        </w:tc>
        <w:tc>
          <w:tcPr>
            <w:tcW w:w="2733" w:type="dxa"/>
          </w:tcPr>
          <w:p>
            <w:pPr>
              <w:pStyle w:val="TableParagraph"/>
              <w:rPr>
                <w:sz w:val="20"/>
              </w:rPr>
            </w:pPr>
            <w:r>
              <w:rPr>
                <w:w w:val="110"/>
                <w:sz w:val="20"/>
              </w:rPr>
              <w:t>Lei/ha</w:t>
            </w:r>
          </w:p>
        </w:tc>
      </w:tr>
      <w:tr>
        <w:trPr>
          <w:trHeight w:val="363" w:hRule="atLeast"/>
        </w:trPr>
        <w:tc>
          <w:tcPr>
            <w:tcW w:w="783" w:type="dxa"/>
          </w:tcPr>
          <w:p>
            <w:pPr>
              <w:pStyle w:val="TableParagraph"/>
              <w:rPr>
                <w:sz w:val="20"/>
              </w:rPr>
            </w:pPr>
            <w:r>
              <w:rPr>
                <w:w w:val="112"/>
                <w:sz w:val="20"/>
              </w:rPr>
              <w:t>1</w:t>
            </w:r>
          </w:p>
        </w:tc>
        <w:tc>
          <w:tcPr>
            <w:tcW w:w="4714" w:type="dxa"/>
          </w:tcPr>
          <w:p>
            <w:pPr>
              <w:pStyle w:val="TableParagraph"/>
              <w:rPr>
                <w:sz w:val="20"/>
              </w:rPr>
            </w:pPr>
            <w:r>
              <w:rPr>
                <w:w w:val="115"/>
                <w:sz w:val="20"/>
              </w:rPr>
              <w:t>Teren arabil</w:t>
            </w:r>
          </w:p>
        </w:tc>
        <w:tc>
          <w:tcPr>
            <w:tcW w:w="2733" w:type="dxa"/>
          </w:tcPr>
          <w:p>
            <w:pPr>
              <w:pStyle w:val="TableParagraph"/>
              <w:rPr>
                <w:sz w:val="20"/>
              </w:rPr>
            </w:pPr>
            <w:r>
              <w:rPr>
                <w:w w:val="115"/>
                <w:sz w:val="20"/>
              </w:rPr>
              <w:t>29</w:t>
            </w:r>
          </w:p>
        </w:tc>
      </w:tr>
      <w:tr>
        <w:trPr>
          <w:trHeight w:val="363" w:hRule="atLeast"/>
        </w:trPr>
        <w:tc>
          <w:tcPr>
            <w:tcW w:w="783" w:type="dxa"/>
          </w:tcPr>
          <w:p>
            <w:pPr>
              <w:pStyle w:val="TableParagraph"/>
              <w:rPr>
                <w:sz w:val="20"/>
              </w:rPr>
            </w:pPr>
            <w:r>
              <w:rPr>
                <w:w w:val="112"/>
                <w:sz w:val="20"/>
              </w:rPr>
              <w:t>2</w:t>
            </w:r>
          </w:p>
        </w:tc>
        <w:tc>
          <w:tcPr>
            <w:tcW w:w="4714" w:type="dxa"/>
          </w:tcPr>
          <w:p>
            <w:pPr>
              <w:pStyle w:val="TableParagraph"/>
              <w:rPr>
                <w:sz w:val="20"/>
              </w:rPr>
            </w:pPr>
            <w:r>
              <w:rPr>
                <w:w w:val="115"/>
                <w:sz w:val="20"/>
              </w:rPr>
              <w:t>Păşune</w:t>
            </w:r>
          </w:p>
        </w:tc>
        <w:tc>
          <w:tcPr>
            <w:tcW w:w="2733" w:type="dxa"/>
          </w:tcPr>
          <w:p>
            <w:pPr>
              <w:pStyle w:val="TableParagraph"/>
              <w:rPr>
                <w:sz w:val="20"/>
              </w:rPr>
            </w:pPr>
            <w:r>
              <w:rPr>
                <w:w w:val="115"/>
                <w:sz w:val="20"/>
              </w:rPr>
              <w:t>22</w:t>
            </w:r>
          </w:p>
        </w:tc>
      </w:tr>
      <w:tr>
        <w:trPr>
          <w:trHeight w:val="363" w:hRule="atLeast"/>
        </w:trPr>
        <w:tc>
          <w:tcPr>
            <w:tcW w:w="783" w:type="dxa"/>
          </w:tcPr>
          <w:p>
            <w:pPr>
              <w:pStyle w:val="TableParagraph"/>
              <w:rPr>
                <w:sz w:val="20"/>
              </w:rPr>
            </w:pPr>
            <w:r>
              <w:rPr>
                <w:w w:val="112"/>
                <w:sz w:val="20"/>
              </w:rPr>
              <w:t>3</w:t>
            </w:r>
          </w:p>
        </w:tc>
        <w:tc>
          <w:tcPr>
            <w:tcW w:w="4714" w:type="dxa"/>
          </w:tcPr>
          <w:p>
            <w:pPr>
              <w:pStyle w:val="TableParagraph"/>
              <w:rPr>
                <w:sz w:val="20"/>
              </w:rPr>
            </w:pPr>
            <w:r>
              <w:rPr>
                <w:w w:val="115"/>
                <w:sz w:val="20"/>
              </w:rPr>
              <w:t>Fâneaţă</w:t>
            </w:r>
          </w:p>
        </w:tc>
        <w:tc>
          <w:tcPr>
            <w:tcW w:w="2733" w:type="dxa"/>
          </w:tcPr>
          <w:p>
            <w:pPr>
              <w:pStyle w:val="TableParagraph"/>
              <w:rPr>
                <w:sz w:val="20"/>
              </w:rPr>
            </w:pPr>
            <w:r>
              <w:rPr>
                <w:w w:val="115"/>
                <w:sz w:val="20"/>
              </w:rPr>
              <w:t>22</w:t>
            </w:r>
          </w:p>
        </w:tc>
      </w:tr>
      <w:tr>
        <w:trPr>
          <w:trHeight w:val="363" w:hRule="atLeast"/>
        </w:trPr>
        <w:tc>
          <w:tcPr>
            <w:tcW w:w="783" w:type="dxa"/>
          </w:tcPr>
          <w:p>
            <w:pPr>
              <w:pStyle w:val="TableParagraph"/>
              <w:rPr>
                <w:sz w:val="20"/>
              </w:rPr>
            </w:pPr>
            <w:r>
              <w:rPr>
                <w:w w:val="112"/>
                <w:sz w:val="20"/>
              </w:rPr>
              <w:t>4</w:t>
            </w:r>
          </w:p>
        </w:tc>
        <w:tc>
          <w:tcPr>
            <w:tcW w:w="4714" w:type="dxa"/>
          </w:tcPr>
          <w:p>
            <w:pPr>
              <w:pStyle w:val="TableParagraph"/>
              <w:rPr>
                <w:sz w:val="20"/>
              </w:rPr>
            </w:pPr>
            <w:r>
              <w:rPr>
                <w:w w:val="110"/>
                <w:sz w:val="20"/>
              </w:rPr>
              <w:t>Vie</w:t>
            </w:r>
          </w:p>
        </w:tc>
        <w:tc>
          <w:tcPr>
            <w:tcW w:w="2733" w:type="dxa"/>
          </w:tcPr>
          <w:p>
            <w:pPr>
              <w:pStyle w:val="TableParagraph"/>
              <w:rPr>
                <w:sz w:val="20"/>
              </w:rPr>
            </w:pPr>
            <w:r>
              <w:rPr>
                <w:w w:val="115"/>
                <w:sz w:val="20"/>
              </w:rPr>
              <w:t>48</w:t>
            </w:r>
          </w:p>
        </w:tc>
      </w:tr>
      <w:tr>
        <w:trPr>
          <w:trHeight w:val="363" w:hRule="atLeast"/>
        </w:trPr>
        <w:tc>
          <w:tcPr>
            <w:tcW w:w="783" w:type="dxa"/>
          </w:tcPr>
          <w:p>
            <w:pPr>
              <w:pStyle w:val="TableParagraph"/>
              <w:rPr>
                <w:sz w:val="20"/>
              </w:rPr>
            </w:pPr>
            <w:r>
              <w:rPr>
                <w:w w:val="112"/>
                <w:sz w:val="20"/>
              </w:rPr>
              <w:t>5</w:t>
            </w:r>
          </w:p>
        </w:tc>
        <w:tc>
          <w:tcPr>
            <w:tcW w:w="4714" w:type="dxa"/>
          </w:tcPr>
          <w:p>
            <w:pPr>
              <w:pStyle w:val="TableParagraph"/>
              <w:rPr>
                <w:sz w:val="20"/>
              </w:rPr>
            </w:pPr>
            <w:r>
              <w:rPr>
                <w:w w:val="115"/>
                <w:sz w:val="20"/>
              </w:rPr>
              <w:t>Livadă</w:t>
            </w:r>
          </w:p>
        </w:tc>
        <w:tc>
          <w:tcPr>
            <w:tcW w:w="2733" w:type="dxa"/>
          </w:tcPr>
          <w:p>
            <w:pPr>
              <w:pStyle w:val="TableParagraph"/>
              <w:rPr>
                <w:sz w:val="20"/>
              </w:rPr>
            </w:pPr>
            <w:r>
              <w:rPr>
                <w:w w:val="115"/>
                <w:sz w:val="20"/>
              </w:rPr>
              <w:t>56</w:t>
            </w:r>
          </w:p>
        </w:tc>
      </w:tr>
      <w:tr>
        <w:trPr>
          <w:trHeight w:val="640" w:hRule="atLeast"/>
        </w:trPr>
        <w:tc>
          <w:tcPr>
            <w:tcW w:w="783" w:type="dxa"/>
          </w:tcPr>
          <w:p>
            <w:pPr>
              <w:pStyle w:val="TableParagraph"/>
              <w:rPr>
                <w:sz w:val="20"/>
              </w:rPr>
            </w:pPr>
            <w:r>
              <w:rPr>
                <w:w w:val="112"/>
                <w:sz w:val="20"/>
              </w:rPr>
              <w:t>6</w:t>
            </w:r>
          </w:p>
        </w:tc>
        <w:tc>
          <w:tcPr>
            <w:tcW w:w="4714" w:type="dxa"/>
          </w:tcPr>
          <w:p>
            <w:pPr>
              <w:pStyle w:val="TableParagraph"/>
              <w:spacing w:line="271" w:lineRule="auto"/>
              <w:ind w:right="1570"/>
              <w:rPr>
                <w:sz w:val="20"/>
              </w:rPr>
            </w:pPr>
            <w:r>
              <w:rPr>
                <w:w w:val="115"/>
                <w:sz w:val="20"/>
              </w:rPr>
              <w:t>Padure sau alt teren cu vegetatie forestiera</w:t>
            </w:r>
          </w:p>
        </w:tc>
        <w:tc>
          <w:tcPr>
            <w:tcW w:w="2733" w:type="dxa"/>
          </w:tcPr>
          <w:p>
            <w:pPr>
              <w:pStyle w:val="TableParagraph"/>
              <w:rPr>
                <w:sz w:val="20"/>
              </w:rPr>
            </w:pPr>
            <w:r>
              <w:rPr>
                <w:w w:val="115"/>
                <w:sz w:val="20"/>
              </w:rPr>
              <w:t>29</w:t>
            </w:r>
          </w:p>
        </w:tc>
      </w:tr>
      <w:tr>
        <w:trPr>
          <w:trHeight w:val="363" w:hRule="atLeast"/>
        </w:trPr>
        <w:tc>
          <w:tcPr>
            <w:tcW w:w="783" w:type="dxa"/>
          </w:tcPr>
          <w:p>
            <w:pPr>
              <w:pStyle w:val="TableParagraph"/>
              <w:rPr>
                <w:sz w:val="20"/>
              </w:rPr>
            </w:pPr>
            <w:r>
              <w:rPr>
                <w:w w:val="112"/>
                <w:sz w:val="20"/>
              </w:rPr>
              <w:t>7</w:t>
            </w:r>
          </w:p>
        </w:tc>
        <w:tc>
          <w:tcPr>
            <w:tcW w:w="4714" w:type="dxa"/>
          </w:tcPr>
          <w:p>
            <w:pPr>
              <w:pStyle w:val="TableParagraph"/>
              <w:rPr>
                <w:sz w:val="20"/>
              </w:rPr>
            </w:pPr>
            <w:r>
              <w:rPr>
                <w:w w:val="115"/>
                <w:sz w:val="20"/>
              </w:rPr>
              <w:t>Teren cu ape</w:t>
            </w:r>
          </w:p>
        </w:tc>
        <w:tc>
          <w:tcPr>
            <w:tcW w:w="2733" w:type="dxa"/>
          </w:tcPr>
          <w:p>
            <w:pPr>
              <w:pStyle w:val="TableParagraph"/>
              <w:rPr>
                <w:sz w:val="20"/>
              </w:rPr>
            </w:pPr>
            <w:r>
              <w:rPr>
                <w:w w:val="112"/>
                <w:sz w:val="20"/>
              </w:rPr>
              <w:t>8</w:t>
            </w:r>
          </w:p>
        </w:tc>
      </w:tr>
    </w:tbl>
    <w:p>
      <w:pPr>
        <w:pStyle w:val="BodyText"/>
        <w:spacing w:before="208"/>
        <w:ind w:left="781"/>
        <w:jc w:val="left"/>
      </w:pPr>
      <w:r>
        <w:rPr>
          <w:w w:val="115"/>
        </w:rPr>
        <w:t>Pentru terenul neproductiv si drumuri nu se percepe taxă.</w:t>
      </w:r>
    </w:p>
    <w:p>
      <w:pPr>
        <w:pStyle w:val="ListParagraph"/>
        <w:numPr>
          <w:ilvl w:val="1"/>
          <w:numId w:val="14"/>
        </w:numPr>
        <w:tabs>
          <w:tab w:pos="428" w:val="left" w:leader="none"/>
        </w:tabs>
        <w:spacing w:line="271" w:lineRule="auto" w:before="140" w:after="0"/>
        <w:ind w:left="108" w:right="110" w:firstLine="151"/>
        <w:jc w:val="both"/>
        <w:rPr>
          <w:sz w:val="20"/>
        </w:rPr>
      </w:pPr>
      <w:r>
        <w:rPr>
          <w:w w:val="110"/>
          <w:sz w:val="20"/>
        </w:rPr>
        <w:t>În cazul </w:t>
      </w:r>
      <w:r>
        <w:rPr>
          <w:rFonts w:ascii="Arial" w:hAnsi="Arial"/>
          <w:b/>
          <w:w w:val="110"/>
          <w:sz w:val="20"/>
        </w:rPr>
        <w:t>contribuabililor persoane juridice</w:t>
      </w:r>
      <w:r>
        <w:rPr>
          <w:w w:val="110"/>
          <w:sz w:val="20"/>
        </w:rPr>
        <w:t>, pentru terenul amplasat în intravilan, înregistrat în registrul agricol la altă categorie de folosinţă decât cea de terenuri cu construcţii, impozitul/taxa pe teren     se</w:t>
      </w:r>
      <w:r>
        <w:rPr>
          <w:spacing w:val="11"/>
          <w:w w:val="110"/>
          <w:sz w:val="20"/>
        </w:rPr>
        <w:t> </w:t>
      </w:r>
      <w:r>
        <w:rPr>
          <w:w w:val="110"/>
          <w:sz w:val="20"/>
        </w:rPr>
        <w:t>calculează</w:t>
      </w:r>
      <w:r>
        <w:rPr>
          <w:spacing w:val="12"/>
          <w:w w:val="110"/>
          <w:sz w:val="20"/>
        </w:rPr>
        <w:t> </w:t>
      </w:r>
      <w:r>
        <w:rPr>
          <w:w w:val="110"/>
          <w:sz w:val="20"/>
        </w:rPr>
        <w:t>conform</w:t>
      </w:r>
      <w:r>
        <w:rPr>
          <w:spacing w:val="12"/>
          <w:w w:val="110"/>
          <w:sz w:val="20"/>
        </w:rPr>
        <w:t> </w:t>
      </w:r>
      <w:r>
        <w:rPr>
          <w:w w:val="110"/>
          <w:sz w:val="20"/>
        </w:rPr>
        <w:t>prevederilor</w:t>
      </w:r>
      <w:r>
        <w:rPr>
          <w:spacing w:val="12"/>
          <w:w w:val="110"/>
          <w:sz w:val="20"/>
        </w:rPr>
        <w:t> </w:t>
      </w:r>
      <w:r>
        <w:rPr>
          <w:w w:val="110"/>
          <w:sz w:val="20"/>
        </w:rPr>
        <w:t>alin.</w:t>
      </w:r>
      <w:r>
        <w:rPr>
          <w:spacing w:val="12"/>
          <w:w w:val="110"/>
          <w:sz w:val="20"/>
        </w:rPr>
        <w:t> </w:t>
      </w:r>
      <w:r>
        <w:rPr>
          <w:w w:val="110"/>
          <w:sz w:val="20"/>
        </w:rPr>
        <w:t>(1)</w:t>
      </w:r>
      <w:r>
        <w:rPr>
          <w:spacing w:val="12"/>
          <w:w w:val="110"/>
          <w:sz w:val="20"/>
        </w:rPr>
        <w:t> </w:t>
      </w:r>
      <w:r>
        <w:rPr>
          <w:w w:val="110"/>
          <w:sz w:val="20"/>
        </w:rPr>
        <w:t>numai</w:t>
      </w:r>
      <w:r>
        <w:rPr>
          <w:spacing w:val="12"/>
          <w:w w:val="110"/>
          <w:sz w:val="20"/>
        </w:rPr>
        <w:t> </w:t>
      </w:r>
      <w:r>
        <w:rPr>
          <w:w w:val="110"/>
          <w:sz w:val="20"/>
        </w:rPr>
        <w:t>dacă</w:t>
      </w:r>
      <w:r>
        <w:rPr>
          <w:spacing w:val="12"/>
          <w:w w:val="110"/>
          <w:sz w:val="20"/>
        </w:rPr>
        <w:t> </w:t>
      </w:r>
      <w:r>
        <w:rPr>
          <w:w w:val="110"/>
          <w:sz w:val="20"/>
        </w:rPr>
        <w:t>îndeplinesc,</w:t>
      </w:r>
      <w:r>
        <w:rPr>
          <w:spacing w:val="11"/>
          <w:w w:val="110"/>
          <w:sz w:val="20"/>
        </w:rPr>
        <w:t> </w:t>
      </w:r>
      <w:r>
        <w:rPr>
          <w:w w:val="110"/>
          <w:sz w:val="20"/>
        </w:rPr>
        <w:t>cumulativ,</w:t>
      </w:r>
      <w:r>
        <w:rPr>
          <w:spacing w:val="12"/>
          <w:w w:val="110"/>
          <w:sz w:val="20"/>
        </w:rPr>
        <w:t> </w:t>
      </w:r>
      <w:r>
        <w:rPr>
          <w:w w:val="110"/>
          <w:sz w:val="20"/>
        </w:rPr>
        <w:t>următoarele</w:t>
      </w:r>
      <w:r>
        <w:rPr>
          <w:spacing w:val="12"/>
          <w:w w:val="110"/>
          <w:sz w:val="20"/>
        </w:rPr>
        <w:t> </w:t>
      </w:r>
      <w:r>
        <w:rPr>
          <w:w w:val="110"/>
          <w:sz w:val="20"/>
        </w:rPr>
        <w:t>condiţii:</w:t>
      </w:r>
    </w:p>
    <w:p>
      <w:pPr>
        <w:pStyle w:val="ListParagraph"/>
        <w:numPr>
          <w:ilvl w:val="0"/>
          <w:numId w:val="15"/>
        </w:numPr>
        <w:tabs>
          <w:tab w:pos="537" w:val="left" w:leader="none"/>
        </w:tabs>
        <w:spacing w:line="240" w:lineRule="auto" w:before="109" w:after="0"/>
        <w:ind w:left="536" w:right="0" w:hanging="221"/>
        <w:jc w:val="left"/>
        <w:rPr>
          <w:sz w:val="20"/>
        </w:rPr>
      </w:pPr>
      <w:r>
        <w:rPr>
          <w:w w:val="115"/>
          <w:sz w:val="20"/>
        </w:rPr>
        <w:t>au prevăzut în statut, ca obiect de activitate,</w:t>
      </w:r>
      <w:r>
        <w:rPr>
          <w:spacing w:val="-16"/>
          <w:w w:val="115"/>
          <w:sz w:val="20"/>
        </w:rPr>
        <w:t> </w:t>
      </w:r>
      <w:r>
        <w:rPr>
          <w:w w:val="115"/>
          <w:sz w:val="20"/>
        </w:rPr>
        <w:t>agricultură;</w:t>
      </w:r>
    </w:p>
    <w:p>
      <w:pPr>
        <w:pStyle w:val="ListParagraph"/>
        <w:numPr>
          <w:ilvl w:val="0"/>
          <w:numId w:val="15"/>
        </w:numPr>
        <w:tabs>
          <w:tab w:pos="546" w:val="left" w:leader="none"/>
        </w:tabs>
        <w:spacing w:line="271" w:lineRule="auto" w:before="140" w:after="0"/>
        <w:ind w:left="108" w:right="118" w:firstLine="170"/>
        <w:jc w:val="both"/>
        <w:rPr>
          <w:sz w:val="20"/>
        </w:rPr>
      </w:pPr>
      <w:r>
        <w:rPr>
          <w:w w:val="115"/>
          <w:sz w:val="20"/>
        </w:rPr>
        <w:t>au înregistrate în evidenţa contabilă venituri şi cheltuieli din desfăşurarea obiectului de activitate prevăzut la lit.</w:t>
      </w:r>
      <w:r>
        <w:rPr>
          <w:spacing w:val="48"/>
          <w:w w:val="115"/>
          <w:sz w:val="20"/>
        </w:rPr>
        <w:t> </w:t>
      </w:r>
      <w:r>
        <w:rPr>
          <w:w w:val="115"/>
          <w:sz w:val="20"/>
        </w:rPr>
        <w:t>a.</w:t>
      </w:r>
    </w:p>
    <w:p>
      <w:pPr>
        <w:pStyle w:val="ListParagraph"/>
        <w:numPr>
          <w:ilvl w:val="1"/>
          <w:numId w:val="14"/>
        </w:numPr>
        <w:tabs>
          <w:tab w:pos="501" w:val="left" w:leader="none"/>
        </w:tabs>
        <w:spacing w:line="271" w:lineRule="auto" w:before="108" w:after="0"/>
        <w:ind w:left="108" w:right="115" w:firstLine="113"/>
        <w:jc w:val="both"/>
        <w:rPr>
          <w:sz w:val="20"/>
        </w:rPr>
      </w:pPr>
      <w:r>
        <w:rPr>
          <w:w w:val="115"/>
          <w:sz w:val="20"/>
        </w:rPr>
        <w:t>În cazul unui teren amplasat în</w:t>
      </w:r>
      <w:r>
        <w:rPr>
          <w:w w:val="115"/>
          <w:sz w:val="20"/>
          <w:u w:val="single"/>
        </w:rPr>
        <w:t>extravilan</w:t>
      </w:r>
      <w:r>
        <w:rPr>
          <w:w w:val="115"/>
          <w:sz w:val="20"/>
        </w:rPr>
        <w:t>, impozitul/taxa pe teren se stabileşte prin înmulţirea suprafeţei</w:t>
      </w:r>
      <w:r>
        <w:rPr>
          <w:spacing w:val="-4"/>
          <w:w w:val="115"/>
          <w:sz w:val="20"/>
        </w:rPr>
        <w:t> </w:t>
      </w:r>
      <w:r>
        <w:rPr>
          <w:w w:val="115"/>
          <w:sz w:val="20"/>
        </w:rPr>
        <w:t>terenului,</w:t>
      </w:r>
      <w:r>
        <w:rPr>
          <w:spacing w:val="-3"/>
          <w:w w:val="115"/>
          <w:sz w:val="20"/>
        </w:rPr>
        <w:t> </w:t>
      </w:r>
      <w:r>
        <w:rPr>
          <w:w w:val="115"/>
          <w:sz w:val="20"/>
        </w:rPr>
        <w:t>exprimată</w:t>
      </w:r>
      <w:r>
        <w:rPr>
          <w:spacing w:val="-4"/>
          <w:w w:val="115"/>
          <w:sz w:val="20"/>
        </w:rPr>
        <w:t> </w:t>
      </w:r>
      <w:r>
        <w:rPr>
          <w:w w:val="115"/>
          <w:sz w:val="20"/>
        </w:rPr>
        <w:t>în</w:t>
      </w:r>
      <w:r>
        <w:rPr>
          <w:spacing w:val="-3"/>
          <w:w w:val="115"/>
          <w:sz w:val="20"/>
        </w:rPr>
        <w:t> </w:t>
      </w:r>
      <w:r>
        <w:rPr>
          <w:w w:val="115"/>
          <w:sz w:val="20"/>
        </w:rPr>
        <w:t>ha,</w:t>
      </w:r>
      <w:r>
        <w:rPr>
          <w:spacing w:val="-3"/>
          <w:w w:val="115"/>
          <w:sz w:val="20"/>
        </w:rPr>
        <w:t> </w:t>
      </w:r>
      <w:r>
        <w:rPr>
          <w:w w:val="115"/>
          <w:sz w:val="20"/>
        </w:rPr>
        <w:t>cu</w:t>
      </w:r>
      <w:r>
        <w:rPr>
          <w:spacing w:val="-4"/>
          <w:w w:val="115"/>
          <w:sz w:val="20"/>
        </w:rPr>
        <w:t> </w:t>
      </w:r>
      <w:r>
        <w:rPr>
          <w:w w:val="115"/>
          <w:sz w:val="20"/>
        </w:rPr>
        <w:t>suma</w:t>
      </w:r>
      <w:r>
        <w:rPr>
          <w:spacing w:val="-3"/>
          <w:w w:val="115"/>
          <w:sz w:val="20"/>
        </w:rPr>
        <w:t> </w:t>
      </w:r>
      <w:r>
        <w:rPr>
          <w:w w:val="115"/>
          <w:sz w:val="20"/>
        </w:rPr>
        <w:t>corespunzătoare</w:t>
      </w:r>
      <w:r>
        <w:rPr>
          <w:spacing w:val="-3"/>
          <w:w w:val="115"/>
          <w:sz w:val="20"/>
        </w:rPr>
        <w:t> </w:t>
      </w:r>
      <w:r>
        <w:rPr>
          <w:w w:val="115"/>
          <w:sz w:val="20"/>
        </w:rPr>
        <w:t>prevăzută</w:t>
      </w:r>
      <w:r>
        <w:rPr>
          <w:spacing w:val="-4"/>
          <w:w w:val="115"/>
          <w:sz w:val="20"/>
        </w:rPr>
        <w:t> </w:t>
      </w:r>
      <w:r>
        <w:rPr>
          <w:w w:val="115"/>
          <w:sz w:val="20"/>
        </w:rPr>
        <w:t>în</w:t>
      </w:r>
      <w:r>
        <w:rPr>
          <w:spacing w:val="-3"/>
          <w:w w:val="115"/>
          <w:sz w:val="20"/>
        </w:rPr>
        <w:t> </w:t>
      </w:r>
      <w:r>
        <w:rPr>
          <w:w w:val="115"/>
          <w:sz w:val="20"/>
        </w:rPr>
        <w:t>următorul</w:t>
      </w:r>
      <w:r>
        <w:rPr>
          <w:spacing w:val="-4"/>
          <w:w w:val="115"/>
          <w:sz w:val="20"/>
        </w:rPr>
        <w:t> </w:t>
      </w:r>
      <w:r>
        <w:rPr>
          <w:w w:val="115"/>
          <w:sz w:val="20"/>
        </w:rPr>
        <w:t>tabel</w:t>
      </w:r>
      <w:r>
        <w:rPr>
          <w:spacing w:val="-3"/>
          <w:w w:val="115"/>
          <w:sz w:val="20"/>
        </w:rPr>
        <w:t> </w:t>
      </w:r>
      <w:r>
        <w:rPr>
          <w:w w:val="115"/>
          <w:sz w:val="20"/>
        </w:rPr>
        <w:t>:</w:t>
      </w:r>
    </w:p>
    <w:p>
      <w:pPr>
        <w:spacing w:after="0" w:line="271" w:lineRule="auto"/>
        <w:jc w:val="both"/>
        <w:rPr>
          <w:sz w:val="20"/>
        </w:rPr>
        <w:sectPr>
          <w:pgSz w:w="11900" w:h="16840"/>
          <w:pgMar w:header="0" w:footer="341" w:top="500" w:bottom="560" w:left="1140" w:right="740"/>
        </w:sectPr>
      </w:pPr>
    </w:p>
    <w:tbl>
      <w:tblPr>
        <w:tblW w:w="0" w:type="auto"/>
        <w:jc w:val="left"/>
        <w:tblInd w:w="89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783"/>
        <w:gridCol w:w="4714"/>
        <w:gridCol w:w="2733"/>
      </w:tblGrid>
      <w:tr>
        <w:trPr>
          <w:trHeight w:val="440" w:hRule="atLeast"/>
        </w:trPr>
        <w:tc>
          <w:tcPr>
            <w:tcW w:w="783" w:type="dxa"/>
          </w:tcPr>
          <w:p>
            <w:pPr>
              <w:pStyle w:val="TableParagraph"/>
              <w:spacing w:before="64"/>
              <w:rPr>
                <w:sz w:val="20"/>
              </w:rPr>
            </w:pPr>
            <w:r>
              <w:rPr>
                <w:w w:val="110"/>
                <w:sz w:val="20"/>
              </w:rPr>
              <w:t>Nr.crt</w:t>
            </w:r>
          </w:p>
        </w:tc>
        <w:tc>
          <w:tcPr>
            <w:tcW w:w="4714" w:type="dxa"/>
          </w:tcPr>
          <w:p>
            <w:pPr>
              <w:pStyle w:val="TableParagraph"/>
              <w:spacing w:before="64"/>
              <w:rPr>
                <w:sz w:val="20"/>
              </w:rPr>
            </w:pPr>
            <w:r>
              <w:rPr>
                <w:w w:val="115"/>
                <w:sz w:val="20"/>
              </w:rPr>
              <w:t>Categoria de folosinţă</w:t>
            </w:r>
          </w:p>
        </w:tc>
        <w:tc>
          <w:tcPr>
            <w:tcW w:w="2733" w:type="dxa"/>
          </w:tcPr>
          <w:p>
            <w:pPr>
              <w:pStyle w:val="TableParagraph"/>
              <w:spacing w:before="64"/>
              <w:rPr>
                <w:sz w:val="20"/>
              </w:rPr>
            </w:pPr>
            <w:r>
              <w:rPr>
                <w:w w:val="110"/>
                <w:sz w:val="20"/>
              </w:rPr>
              <w:t>Lei/ha</w:t>
            </w:r>
          </w:p>
        </w:tc>
      </w:tr>
      <w:tr>
        <w:trPr>
          <w:trHeight w:val="363" w:hRule="atLeast"/>
        </w:trPr>
        <w:tc>
          <w:tcPr>
            <w:tcW w:w="783" w:type="dxa"/>
          </w:tcPr>
          <w:p>
            <w:pPr>
              <w:pStyle w:val="TableParagraph"/>
              <w:spacing w:before="64"/>
              <w:rPr>
                <w:sz w:val="20"/>
              </w:rPr>
            </w:pPr>
            <w:r>
              <w:rPr>
                <w:w w:val="112"/>
                <w:sz w:val="20"/>
              </w:rPr>
              <w:t>1</w:t>
            </w:r>
          </w:p>
        </w:tc>
        <w:tc>
          <w:tcPr>
            <w:tcW w:w="4714" w:type="dxa"/>
          </w:tcPr>
          <w:p>
            <w:pPr>
              <w:pStyle w:val="TableParagraph"/>
              <w:spacing w:before="64"/>
              <w:rPr>
                <w:sz w:val="20"/>
              </w:rPr>
            </w:pPr>
            <w:r>
              <w:rPr>
                <w:w w:val="115"/>
                <w:sz w:val="20"/>
              </w:rPr>
              <w:t>Teren cu construcţii</w:t>
            </w:r>
          </w:p>
        </w:tc>
        <w:tc>
          <w:tcPr>
            <w:tcW w:w="2733" w:type="dxa"/>
          </w:tcPr>
          <w:p>
            <w:pPr>
              <w:pStyle w:val="TableParagraph"/>
              <w:spacing w:before="64"/>
              <w:rPr>
                <w:sz w:val="20"/>
              </w:rPr>
            </w:pPr>
            <w:r>
              <w:rPr>
                <w:w w:val="115"/>
                <w:sz w:val="20"/>
              </w:rPr>
              <w:t>30</w:t>
            </w:r>
          </w:p>
        </w:tc>
      </w:tr>
      <w:tr>
        <w:trPr>
          <w:trHeight w:val="363" w:hRule="atLeast"/>
        </w:trPr>
        <w:tc>
          <w:tcPr>
            <w:tcW w:w="783" w:type="dxa"/>
          </w:tcPr>
          <w:p>
            <w:pPr>
              <w:pStyle w:val="TableParagraph"/>
              <w:spacing w:before="64"/>
              <w:rPr>
                <w:sz w:val="20"/>
              </w:rPr>
            </w:pPr>
            <w:r>
              <w:rPr>
                <w:w w:val="112"/>
                <w:sz w:val="20"/>
              </w:rPr>
              <w:t>2</w:t>
            </w:r>
          </w:p>
        </w:tc>
        <w:tc>
          <w:tcPr>
            <w:tcW w:w="4714" w:type="dxa"/>
          </w:tcPr>
          <w:p>
            <w:pPr>
              <w:pStyle w:val="TableParagraph"/>
              <w:spacing w:before="64"/>
              <w:rPr>
                <w:sz w:val="20"/>
              </w:rPr>
            </w:pPr>
            <w:r>
              <w:rPr>
                <w:w w:val="115"/>
                <w:sz w:val="20"/>
              </w:rPr>
              <w:t>Teren arabil</w:t>
            </w:r>
          </w:p>
        </w:tc>
        <w:tc>
          <w:tcPr>
            <w:tcW w:w="2733" w:type="dxa"/>
          </w:tcPr>
          <w:p>
            <w:pPr>
              <w:pStyle w:val="TableParagraph"/>
              <w:spacing w:before="64"/>
              <w:rPr>
                <w:sz w:val="20"/>
              </w:rPr>
            </w:pPr>
            <w:r>
              <w:rPr>
                <w:w w:val="115"/>
                <w:sz w:val="20"/>
              </w:rPr>
              <w:t>51</w:t>
            </w:r>
          </w:p>
        </w:tc>
      </w:tr>
      <w:tr>
        <w:trPr>
          <w:trHeight w:val="363" w:hRule="atLeast"/>
        </w:trPr>
        <w:tc>
          <w:tcPr>
            <w:tcW w:w="783" w:type="dxa"/>
          </w:tcPr>
          <w:p>
            <w:pPr>
              <w:pStyle w:val="TableParagraph"/>
              <w:spacing w:before="64"/>
              <w:rPr>
                <w:sz w:val="20"/>
              </w:rPr>
            </w:pPr>
            <w:r>
              <w:rPr>
                <w:w w:val="112"/>
                <w:sz w:val="20"/>
              </w:rPr>
              <w:t>3</w:t>
            </w:r>
          </w:p>
        </w:tc>
        <w:tc>
          <w:tcPr>
            <w:tcW w:w="4714" w:type="dxa"/>
          </w:tcPr>
          <w:p>
            <w:pPr>
              <w:pStyle w:val="TableParagraph"/>
              <w:spacing w:before="64"/>
              <w:rPr>
                <w:sz w:val="20"/>
              </w:rPr>
            </w:pPr>
            <w:r>
              <w:rPr>
                <w:w w:val="115"/>
                <w:sz w:val="20"/>
              </w:rPr>
              <w:t>Păşune</w:t>
            </w:r>
          </w:p>
        </w:tc>
        <w:tc>
          <w:tcPr>
            <w:tcW w:w="2733" w:type="dxa"/>
          </w:tcPr>
          <w:p>
            <w:pPr>
              <w:pStyle w:val="TableParagraph"/>
              <w:spacing w:before="64"/>
              <w:rPr>
                <w:sz w:val="20"/>
              </w:rPr>
            </w:pPr>
            <w:r>
              <w:rPr>
                <w:w w:val="115"/>
                <w:sz w:val="20"/>
              </w:rPr>
              <w:t>28</w:t>
            </w:r>
          </w:p>
        </w:tc>
      </w:tr>
      <w:tr>
        <w:trPr>
          <w:trHeight w:val="363" w:hRule="atLeast"/>
        </w:trPr>
        <w:tc>
          <w:tcPr>
            <w:tcW w:w="783" w:type="dxa"/>
          </w:tcPr>
          <w:p>
            <w:pPr>
              <w:pStyle w:val="TableParagraph"/>
              <w:spacing w:before="64"/>
              <w:rPr>
                <w:sz w:val="20"/>
              </w:rPr>
            </w:pPr>
            <w:r>
              <w:rPr>
                <w:w w:val="112"/>
                <w:sz w:val="20"/>
              </w:rPr>
              <w:t>4</w:t>
            </w:r>
          </w:p>
        </w:tc>
        <w:tc>
          <w:tcPr>
            <w:tcW w:w="4714" w:type="dxa"/>
          </w:tcPr>
          <w:p>
            <w:pPr>
              <w:pStyle w:val="TableParagraph"/>
              <w:spacing w:before="64"/>
              <w:rPr>
                <w:sz w:val="20"/>
              </w:rPr>
            </w:pPr>
            <w:r>
              <w:rPr>
                <w:w w:val="115"/>
                <w:sz w:val="20"/>
              </w:rPr>
              <w:t>Fâneaţă</w:t>
            </w:r>
          </w:p>
        </w:tc>
        <w:tc>
          <w:tcPr>
            <w:tcW w:w="2733" w:type="dxa"/>
          </w:tcPr>
          <w:p>
            <w:pPr>
              <w:pStyle w:val="TableParagraph"/>
              <w:spacing w:before="64"/>
              <w:rPr>
                <w:sz w:val="20"/>
              </w:rPr>
            </w:pPr>
            <w:r>
              <w:rPr>
                <w:w w:val="115"/>
                <w:sz w:val="20"/>
              </w:rPr>
              <w:t>28</w:t>
            </w:r>
          </w:p>
        </w:tc>
      </w:tr>
      <w:tr>
        <w:trPr>
          <w:trHeight w:val="363" w:hRule="atLeast"/>
        </w:trPr>
        <w:tc>
          <w:tcPr>
            <w:tcW w:w="783" w:type="dxa"/>
          </w:tcPr>
          <w:p>
            <w:pPr>
              <w:pStyle w:val="TableParagraph"/>
              <w:spacing w:before="64"/>
              <w:rPr>
                <w:sz w:val="20"/>
              </w:rPr>
            </w:pPr>
            <w:r>
              <w:rPr>
                <w:w w:val="112"/>
                <w:sz w:val="20"/>
              </w:rPr>
              <w:t>5</w:t>
            </w:r>
          </w:p>
        </w:tc>
        <w:tc>
          <w:tcPr>
            <w:tcW w:w="4714" w:type="dxa"/>
          </w:tcPr>
          <w:p>
            <w:pPr>
              <w:pStyle w:val="TableParagraph"/>
              <w:spacing w:before="64"/>
              <w:rPr>
                <w:sz w:val="20"/>
              </w:rPr>
            </w:pPr>
            <w:r>
              <w:rPr>
                <w:w w:val="115"/>
                <w:sz w:val="20"/>
              </w:rPr>
              <w:t>Vie pe rod</w:t>
            </w:r>
          </w:p>
        </w:tc>
        <w:tc>
          <w:tcPr>
            <w:tcW w:w="2733" w:type="dxa"/>
          </w:tcPr>
          <w:p>
            <w:pPr>
              <w:pStyle w:val="TableParagraph"/>
              <w:spacing w:before="64"/>
              <w:rPr>
                <w:sz w:val="20"/>
              </w:rPr>
            </w:pPr>
            <w:r>
              <w:rPr>
                <w:w w:val="115"/>
                <w:sz w:val="20"/>
              </w:rPr>
              <w:t>58</w:t>
            </w:r>
          </w:p>
        </w:tc>
      </w:tr>
      <w:tr>
        <w:trPr>
          <w:trHeight w:val="363" w:hRule="atLeast"/>
        </w:trPr>
        <w:tc>
          <w:tcPr>
            <w:tcW w:w="783" w:type="dxa"/>
          </w:tcPr>
          <w:p>
            <w:pPr>
              <w:pStyle w:val="TableParagraph"/>
              <w:spacing w:before="64"/>
              <w:rPr>
                <w:sz w:val="20"/>
              </w:rPr>
            </w:pPr>
            <w:r>
              <w:rPr>
                <w:w w:val="112"/>
                <w:sz w:val="20"/>
              </w:rPr>
              <w:t>6</w:t>
            </w:r>
          </w:p>
        </w:tc>
        <w:tc>
          <w:tcPr>
            <w:tcW w:w="4714" w:type="dxa"/>
          </w:tcPr>
          <w:p>
            <w:pPr>
              <w:pStyle w:val="TableParagraph"/>
              <w:spacing w:before="64"/>
              <w:rPr>
                <w:sz w:val="20"/>
              </w:rPr>
            </w:pPr>
            <w:r>
              <w:rPr>
                <w:w w:val="115"/>
                <w:sz w:val="20"/>
              </w:rPr>
              <w:t>Livadă pe rod</w:t>
            </w:r>
          </w:p>
        </w:tc>
        <w:tc>
          <w:tcPr>
            <w:tcW w:w="2733" w:type="dxa"/>
          </w:tcPr>
          <w:p>
            <w:pPr>
              <w:pStyle w:val="TableParagraph"/>
              <w:spacing w:before="64"/>
              <w:rPr>
                <w:sz w:val="20"/>
              </w:rPr>
            </w:pPr>
            <w:r>
              <w:rPr>
                <w:w w:val="115"/>
                <w:sz w:val="20"/>
              </w:rPr>
              <w:t>58</w:t>
            </w:r>
          </w:p>
        </w:tc>
      </w:tr>
      <w:tr>
        <w:trPr>
          <w:trHeight w:val="640" w:hRule="atLeast"/>
        </w:trPr>
        <w:tc>
          <w:tcPr>
            <w:tcW w:w="783" w:type="dxa"/>
          </w:tcPr>
          <w:p>
            <w:pPr>
              <w:pStyle w:val="TableParagraph"/>
              <w:spacing w:before="64"/>
              <w:rPr>
                <w:sz w:val="20"/>
              </w:rPr>
            </w:pPr>
            <w:r>
              <w:rPr>
                <w:w w:val="112"/>
                <w:sz w:val="20"/>
              </w:rPr>
              <w:t>7</w:t>
            </w:r>
          </w:p>
        </w:tc>
        <w:tc>
          <w:tcPr>
            <w:tcW w:w="4714" w:type="dxa"/>
          </w:tcPr>
          <w:p>
            <w:pPr>
              <w:pStyle w:val="TableParagraph"/>
              <w:spacing w:line="271" w:lineRule="auto" w:before="64"/>
              <w:ind w:right="1570"/>
              <w:rPr>
                <w:sz w:val="20"/>
              </w:rPr>
            </w:pPr>
            <w:r>
              <w:rPr>
                <w:w w:val="115"/>
                <w:sz w:val="20"/>
              </w:rPr>
              <w:t>Padure sau alt teren cu vegetatie forestiera</w:t>
            </w:r>
          </w:p>
        </w:tc>
        <w:tc>
          <w:tcPr>
            <w:tcW w:w="2733" w:type="dxa"/>
          </w:tcPr>
          <w:p>
            <w:pPr>
              <w:pStyle w:val="TableParagraph"/>
              <w:spacing w:before="64"/>
              <w:rPr>
                <w:sz w:val="20"/>
              </w:rPr>
            </w:pPr>
            <w:r>
              <w:rPr>
                <w:w w:val="115"/>
                <w:sz w:val="20"/>
              </w:rPr>
              <w:t>17</w:t>
            </w:r>
          </w:p>
        </w:tc>
      </w:tr>
      <w:tr>
        <w:trPr>
          <w:trHeight w:val="363" w:hRule="atLeast"/>
        </w:trPr>
        <w:tc>
          <w:tcPr>
            <w:tcW w:w="783" w:type="dxa"/>
          </w:tcPr>
          <w:p>
            <w:pPr>
              <w:pStyle w:val="TableParagraph"/>
              <w:spacing w:before="64"/>
              <w:rPr>
                <w:sz w:val="20"/>
              </w:rPr>
            </w:pPr>
            <w:r>
              <w:rPr>
                <w:w w:val="112"/>
                <w:sz w:val="20"/>
              </w:rPr>
              <w:t>8</w:t>
            </w:r>
          </w:p>
        </w:tc>
        <w:tc>
          <w:tcPr>
            <w:tcW w:w="4714" w:type="dxa"/>
          </w:tcPr>
          <w:p>
            <w:pPr>
              <w:pStyle w:val="TableParagraph"/>
              <w:spacing w:before="64"/>
              <w:rPr>
                <w:sz w:val="20"/>
              </w:rPr>
            </w:pPr>
            <w:r>
              <w:rPr>
                <w:w w:val="115"/>
                <w:sz w:val="20"/>
              </w:rPr>
              <w:t>Teren cu ape</w:t>
            </w:r>
          </w:p>
        </w:tc>
        <w:tc>
          <w:tcPr>
            <w:tcW w:w="2733" w:type="dxa"/>
          </w:tcPr>
          <w:p>
            <w:pPr>
              <w:pStyle w:val="TableParagraph"/>
              <w:spacing w:before="64"/>
              <w:rPr>
                <w:sz w:val="20"/>
              </w:rPr>
            </w:pPr>
            <w:r>
              <w:rPr>
                <w:w w:val="112"/>
                <w:sz w:val="20"/>
              </w:rPr>
              <w:t>5</w:t>
            </w:r>
          </w:p>
        </w:tc>
      </w:tr>
      <w:tr>
        <w:trPr>
          <w:trHeight w:val="363" w:hRule="atLeast"/>
        </w:trPr>
        <w:tc>
          <w:tcPr>
            <w:tcW w:w="783" w:type="dxa"/>
          </w:tcPr>
          <w:p>
            <w:pPr>
              <w:pStyle w:val="TableParagraph"/>
              <w:spacing w:before="64"/>
              <w:rPr>
                <w:sz w:val="20"/>
              </w:rPr>
            </w:pPr>
            <w:r>
              <w:rPr>
                <w:w w:val="112"/>
                <w:sz w:val="20"/>
              </w:rPr>
              <w:t>9</w:t>
            </w:r>
          </w:p>
        </w:tc>
        <w:tc>
          <w:tcPr>
            <w:tcW w:w="4714" w:type="dxa"/>
          </w:tcPr>
          <w:p>
            <w:pPr>
              <w:pStyle w:val="TableParagraph"/>
              <w:spacing w:before="64"/>
              <w:rPr>
                <w:sz w:val="20"/>
              </w:rPr>
            </w:pPr>
            <w:r>
              <w:rPr>
                <w:w w:val="115"/>
                <w:sz w:val="20"/>
              </w:rPr>
              <w:t>Teren cu amenajări piscicole</w:t>
            </w:r>
          </w:p>
        </w:tc>
        <w:tc>
          <w:tcPr>
            <w:tcW w:w="2733" w:type="dxa"/>
          </w:tcPr>
          <w:p>
            <w:pPr>
              <w:pStyle w:val="TableParagraph"/>
              <w:spacing w:before="64"/>
              <w:rPr>
                <w:sz w:val="20"/>
              </w:rPr>
            </w:pPr>
            <w:r>
              <w:rPr>
                <w:w w:val="115"/>
                <w:sz w:val="20"/>
              </w:rPr>
              <w:t>34</w:t>
            </w:r>
          </w:p>
        </w:tc>
      </w:tr>
    </w:tbl>
    <w:p>
      <w:pPr>
        <w:pStyle w:val="BodyText"/>
        <w:spacing w:before="8"/>
        <w:ind w:left="0"/>
        <w:jc w:val="left"/>
        <w:rPr>
          <w:sz w:val="6"/>
        </w:rPr>
      </w:pPr>
    </w:p>
    <w:p>
      <w:pPr>
        <w:pStyle w:val="BodyText"/>
        <w:spacing w:before="123"/>
        <w:ind w:left="159"/>
        <w:jc w:val="left"/>
      </w:pPr>
      <w:r>
        <w:rPr>
          <w:w w:val="115"/>
        </w:rPr>
        <w:t>Pentru terenul neproductiv nu se percepe taxă.</w:t>
      </w:r>
    </w:p>
    <w:p>
      <w:pPr>
        <w:pStyle w:val="ListParagraph"/>
        <w:numPr>
          <w:ilvl w:val="1"/>
          <w:numId w:val="14"/>
        </w:numPr>
        <w:tabs>
          <w:tab w:pos="465" w:val="left" w:leader="none"/>
        </w:tabs>
        <w:spacing w:line="271" w:lineRule="auto" w:before="140" w:after="0"/>
        <w:ind w:left="108" w:right="116" w:firstLine="95"/>
        <w:jc w:val="left"/>
        <w:rPr>
          <w:sz w:val="20"/>
        </w:rPr>
      </w:pPr>
      <w:r>
        <w:rPr>
          <w:w w:val="115"/>
          <w:sz w:val="20"/>
        </w:rPr>
        <w:t>Impozitul/taxa pe teren se plăteşte anual, în două rate egale, până la datele de 31 martie şi 30 septembrie</w:t>
      </w:r>
      <w:r>
        <w:rPr>
          <w:spacing w:val="-1"/>
          <w:w w:val="115"/>
          <w:sz w:val="20"/>
        </w:rPr>
        <w:t> </w:t>
      </w:r>
      <w:r>
        <w:rPr>
          <w:w w:val="115"/>
          <w:sz w:val="20"/>
        </w:rPr>
        <w:t>inclusiv.</w:t>
      </w:r>
    </w:p>
    <w:p>
      <w:pPr>
        <w:pStyle w:val="ListParagraph"/>
        <w:numPr>
          <w:ilvl w:val="1"/>
          <w:numId w:val="14"/>
        </w:numPr>
        <w:tabs>
          <w:tab w:pos="356" w:val="left" w:leader="none"/>
        </w:tabs>
        <w:spacing w:line="271" w:lineRule="auto" w:before="108" w:after="0"/>
        <w:ind w:left="108" w:right="112" w:firstLine="0"/>
        <w:jc w:val="left"/>
        <w:rPr>
          <w:sz w:val="20"/>
        </w:rPr>
      </w:pPr>
      <w:r>
        <w:rPr>
          <w:w w:val="115"/>
          <w:sz w:val="20"/>
        </w:rPr>
        <w:t>Pentru plata cu anticipaţie a impozitului pe teren, datorat pentru întregul an de către contribuabili, până</w:t>
      </w:r>
      <w:r>
        <w:rPr>
          <w:spacing w:val="-4"/>
          <w:w w:val="115"/>
          <w:sz w:val="20"/>
        </w:rPr>
        <w:t> </w:t>
      </w:r>
      <w:r>
        <w:rPr>
          <w:w w:val="115"/>
          <w:sz w:val="20"/>
        </w:rPr>
        <w:t>la</w:t>
      </w:r>
      <w:r>
        <w:rPr>
          <w:spacing w:val="-3"/>
          <w:w w:val="115"/>
          <w:sz w:val="20"/>
        </w:rPr>
        <w:t> </w:t>
      </w:r>
      <w:r>
        <w:rPr>
          <w:w w:val="115"/>
          <w:sz w:val="20"/>
        </w:rPr>
        <w:t>data</w:t>
      </w:r>
      <w:r>
        <w:rPr>
          <w:spacing w:val="-3"/>
          <w:w w:val="115"/>
          <w:sz w:val="20"/>
        </w:rPr>
        <w:t> </w:t>
      </w:r>
      <w:r>
        <w:rPr>
          <w:w w:val="115"/>
          <w:sz w:val="20"/>
        </w:rPr>
        <w:t>de</w:t>
      </w:r>
      <w:r>
        <w:rPr>
          <w:spacing w:val="-3"/>
          <w:w w:val="115"/>
          <w:sz w:val="20"/>
        </w:rPr>
        <w:t> </w:t>
      </w:r>
      <w:r>
        <w:rPr>
          <w:w w:val="115"/>
          <w:sz w:val="20"/>
        </w:rPr>
        <w:t>31</w:t>
      </w:r>
      <w:r>
        <w:rPr>
          <w:spacing w:val="-3"/>
          <w:w w:val="115"/>
          <w:sz w:val="20"/>
        </w:rPr>
        <w:t> </w:t>
      </w:r>
      <w:r>
        <w:rPr>
          <w:w w:val="115"/>
          <w:sz w:val="20"/>
        </w:rPr>
        <w:t>martie</w:t>
      </w:r>
      <w:r>
        <w:rPr>
          <w:spacing w:val="-4"/>
          <w:w w:val="115"/>
          <w:sz w:val="20"/>
        </w:rPr>
        <w:t> </w:t>
      </w:r>
      <w:r>
        <w:rPr>
          <w:w w:val="115"/>
          <w:sz w:val="20"/>
        </w:rPr>
        <w:t>inclusiv,</w:t>
      </w:r>
      <w:r>
        <w:rPr>
          <w:spacing w:val="-3"/>
          <w:w w:val="115"/>
          <w:sz w:val="20"/>
        </w:rPr>
        <w:t> </w:t>
      </w:r>
      <w:r>
        <w:rPr>
          <w:w w:val="115"/>
          <w:sz w:val="20"/>
        </w:rPr>
        <w:t>a</w:t>
      </w:r>
      <w:r>
        <w:rPr>
          <w:spacing w:val="-3"/>
          <w:w w:val="115"/>
          <w:sz w:val="20"/>
        </w:rPr>
        <w:t> </w:t>
      </w:r>
      <w:r>
        <w:rPr>
          <w:w w:val="115"/>
          <w:sz w:val="20"/>
        </w:rPr>
        <w:t>anului</w:t>
      </w:r>
      <w:r>
        <w:rPr>
          <w:spacing w:val="-3"/>
          <w:w w:val="115"/>
          <w:sz w:val="20"/>
        </w:rPr>
        <w:t> </w:t>
      </w:r>
      <w:r>
        <w:rPr>
          <w:w w:val="115"/>
          <w:sz w:val="20"/>
        </w:rPr>
        <w:t>respectiv,</w:t>
      </w:r>
      <w:r>
        <w:rPr>
          <w:spacing w:val="-3"/>
          <w:w w:val="115"/>
          <w:sz w:val="20"/>
        </w:rPr>
        <w:t> </w:t>
      </w:r>
      <w:r>
        <w:rPr>
          <w:w w:val="115"/>
          <w:sz w:val="20"/>
        </w:rPr>
        <w:t>se</w:t>
      </w:r>
      <w:r>
        <w:rPr>
          <w:spacing w:val="-3"/>
          <w:w w:val="115"/>
          <w:sz w:val="20"/>
        </w:rPr>
        <w:t> </w:t>
      </w:r>
      <w:r>
        <w:rPr>
          <w:w w:val="115"/>
          <w:sz w:val="20"/>
        </w:rPr>
        <w:t>acordă</w:t>
      </w:r>
      <w:r>
        <w:rPr>
          <w:spacing w:val="-4"/>
          <w:w w:val="115"/>
          <w:sz w:val="20"/>
        </w:rPr>
        <w:t> </w:t>
      </w:r>
      <w:r>
        <w:rPr>
          <w:w w:val="115"/>
          <w:sz w:val="20"/>
        </w:rPr>
        <w:t>o</w:t>
      </w:r>
      <w:r>
        <w:rPr>
          <w:spacing w:val="-3"/>
          <w:w w:val="115"/>
          <w:sz w:val="20"/>
        </w:rPr>
        <w:t> </w:t>
      </w:r>
      <w:r>
        <w:rPr>
          <w:w w:val="115"/>
          <w:sz w:val="20"/>
        </w:rPr>
        <w:t>bonificaţie</w:t>
      </w:r>
      <w:r>
        <w:rPr>
          <w:spacing w:val="-3"/>
          <w:w w:val="115"/>
          <w:sz w:val="20"/>
        </w:rPr>
        <w:t> </w:t>
      </w:r>
      <w:r>
        <w:rPr>
          <w:w w:val="115"/>
          <w:sz w:val="20"/>
        </w:rPr>
        <w:t>de</w:t>
      </w:r>
      <w:r>
        <w:rPr>
          <w:spacing w:val="-3"/>
          <w:w w:val="115"/>
          <w:sz w:val="20"/>
        </w:rPr>
        <w:t> </w:t>
      </w:r>
      <w:r>
        <w:rPr>
          <w:w w:val="115"/>
          <w:sz w:val="20"/>
        </w:rPr>
        <w:t>până</w:t>
      </w:r>
      <w:r>
        <w:rPr>
          <w:spacing w:val="-3"/>
          <w:w w:val="115"/>
          <w:sz w:val="20"/>
        </w:rPr>
        <w:t> </w:t>
      </w:r>
      <w:r>
        <w:rPr>
          <w:w w:val="115"/>
          <w:sz w:val="20"/>
        </w:rPr>
        <w:t>la</w:t>
      </w:r>
      <w:r>
        <w:rPr>
          <w:spacing w:val="-4"/>
          <w:w w:val="115"/>
          <w:sz w:val="20"/>
        </w:rPr>
        <w:t> </w:t>
      </w:r>
      <w:r>
        <w:rPr>
          <w:w w:val="115"/>
          <w:sz w:val="20"/>
        </w:rPr>
        <w:t>10%.</w:t>
      </w:r>
    </w:p>
    <w:p>
      <w:pPr>
        <w:pStyle w:val="ListParagraph"/>
        <w:numPr>
          <w:ilvl w:val="1"/>
          <w:numId w:val="14"/>
        </w:numPr>
        <w:tabs>
          <w:tab w:pos="341" w:val="left" w:leader="none"/>
        </w:tabs>
        <w:spacing w:line="271" w:lineRule="auto" w:before="109" w:after="0"/>
        <w:ind w:left="108" w:right="108" w:firstLine="64"/>
        <w:jc w:val="left"/>
        <w:rPr>
          <w:sz w:val="20"/>
        </w:rPr>
      </w:pPr>
      <w:r>
        <w:rPr>
          <w:w w:val="115"/>
          <w:sz w:val="20"/>
        </w:rPr>
        <w:t>Impozitul/taxa pe teren, datorat aceluiaşi buget local de către contribuabili, persoane fizice şi juridice, de până la 50 lei inclusiv, se plăteşte integral până la primul termen de</w:t>
      </w:r>
      <w:r>
        <w:rPr>
          <w:spacing w:val="-29"/>
          <w:w w:val="115"/>
          <w:sz w:val="20"/>
        </w:rPr>
        <w:t> </w:t>
      </w:r>
      <w:r>
        <w:rPr>
          <w:w w:val="115"/>
          <w:sz w:val="20"/>
        </w:rPr>
        <w:t>plată.</w:t>
      </w:r>
    </w:p>
    <w:p>
      <w:pPr>
        <w:pStyle w:val="ListParagraph"/>
        <w:numPr>
          <w:ilvl w:val="1"/>
          <w:numId w:val="14"/>
        </w:numPr>
        <w:tabs>
          <w:tab w:pos="360" w:val="left" w:leader="none"/>
        </w:tabs>
        <w:spacing w:line="271" w:lineRule="auto" w:before="108" w:after="0"/>
        <w:ind w:left="108" w:right="117" w:firstLine="84"/>
        <w:jc w:val="left"/>
        <w:rPr>
          <w:sz w:val="20"/>
        </w:rPr>
      </w:pPr>
      <w:r>
        <w:rPr>
          <w:w w:val="110"/>
          <w:sz w:val="20"/>
        </w:rPr>
        <w:t>În cazul în care contribuabilul deţine în proprietate mai multe terenuri  amplasate  pe  raza  aceleiaşi unităţi</w:t>
      </w:r>
      <w:r>
        <w:rPr>
          <w:spacing w:val="9"/>
          <w:w w:val="110"/>
          <w:sz w:val="20"/>
        </w:rPr>
        <w:t> </w:t>
      </w:r>
      <w:r>
        <w:rPr>
          <w:w w:val="110"/>
          <w:sz w:val="20"/>
        </w:rPr>
        <w:t>administrativ-teritoriale,</w:t>
      </w:r>
      <w:r>
        <w:rPr>
          <w:spacing w:val="9"/>
          <w:w w:val="110"/>
          <w:sz w:val="20"/>
        </w:rPr>
        <w:t> </w:t>
      </w:r>
      <w:r>
        <w:rPr>
          <w:w w:val="110"/>
          <w:sz w:val="20"/>
        </w:rPr>
        <w:t>prevederile</w:t>
      </w:r>
      <w:r>
        <w:rPr>
          <w:spacing w:val="9"/>
          <w:w w:val="110"/>
          <w:sz w:val="20"/>
        </w:rPr>
        <w:t> </w:t>
      </w:r>
      <w:r>
        <w:rPr>
          <w:w w:val="110"/>
          <w:sz w:val="20"/>
        </w:rPr>
        <w:t>alin.</w:t>
      </w:r>
      <w:r>
        <w:rPr>
          <w:spacing w:val="10"/>
          <w:w w:val="110"/>
          <w:sz w:val="20"/>
        </w:rPr>
        <w:t> </w:t>
      </w:r>
      <w:r>
        <w:rPr>
          <w:w w:val="110"/>
          <w:sz w:val="20"/>
        </w:rPr>
        <w:t>(7)</w:t>
      </w:r>
      <w:r>
        <w:rPr>
          <w:spacing w:val="9"/>
          <w:w w:val="110"/>
          <w:sz w:val="20"/>
        </w:rPr>
        <w:t> </w:t>
      </w:r>
      <w:r>
        <w:rPr>
          <w:w w:val="110"/>
          <w:sz w:val="20"/>
        </w:rPr>
        <w:t>şi</w:t>
      </w:r>
      <w:r>
        <w:rPr>
          <w:spacing w:val="9"/>
          <w:w w:val="110"/>
          <w:sz w:val="20"/>
        </w:rPr>
        <w:t> </w:t>
      </w:r>
      <w:r>
        <w:rPr>
          <w:w w:val="110"/>
          <w:sz w:val="20"/>
        </w:rPr>
        <w:t>(8)</w:t>
      </w:r>
      <w:r>
        <w:rPr>
          <w:spacing w:val="9"/>
          <w:w w:val="110"/>
          <w:sz w:val="20"/>
        </w:rPr>
        <w:t> </w:t>
      </w:r>
      <w:r>
        <w:rPr>
          <w:w w:val="110"/>
          <w:sz w:val="20"/>
        </w:rPr>
        <w:t>se</w:t>
      </w:r>
      <w:r>
        <w:rPr>
          <w:spacing w:val="10"/>
          <w:w w:val="110"/>
          <w:sz w:val="20"/>
        </w:rPr>
        <w:t> </w:t>
      </w:r>
      <w:r>
        <w:rPr>
          <w:w w:val="110"/>
          <w:sz w:val="20"/>
        </w:rPr>
        <w:t>referă</w:t>
      </w:r>
      <w:r>
        <w:rPr>
          <w:spacing w:val="9"/>
          <w:w w:val="110"/>
          <w:sz w:val="20"/>
        </w:rPr>
        <w:t> </w:t>
      </w:r>
      <w:r>
        <w:rPr>
          <w:w w:val="110"/>
          <w:sz w:val="20"/>
        </w:rPr>
        <w:t>la</w:t>
      </w:r>
      <w:r>
        <w:rPr>
          <w:spacing w:val="9"/>
          <w:w w:val="110"/>
          <w:sz w:val="20"/>
        </w:rPr>
        <w:t> </w:t>
      </w:r>
      <w:r>
        <w:rPr>
          <w:w w:val="110"/>
          <w:sz w:val="20"/>
        </w:rPr>
        <w:t>impozitul-taxa</w:t>
      </w:r>
      <w:r>
        <w:rPr>
          <w:spacing w:val="9"/>
          <w:w w:val="110"/>
          <w:sz w:val="20"/>
        </w:rPr>
        <w:t> </w:t>
      </w:r>
      <w:r>
        <w:rPr>
          <w:w w:val="110"/>
          <w:sz w:val="20"/>
        </w:rPr>
        <w:t>pe</w:t>
      </w:r>
      <w:r>
        <w:rPr>
          <w:spacing w:val="10"/>
          <w:w w:val="110"/>
          <w:sz w:val="20"/>
        </w:rPr>
        <w:t> </w:t>
      </w:r>
      <w:r>
        <w:rPr>
          <w:w w:val="110"/>
          <w:sz w:val="20"/>
        </w:rPr>
        <w:t>teren</w:t>
      </w:r>
      <w:r>
        <w:rPr>
          <w:spacing w:val="9"/>
          <w:w w:val="110"/>
          <w:sz w:val="20"/>
        </w:rPr>
        <w:t> </w:t>
      </w:r>
      <w:r>
        <w:rPr>
          <w:w w:val="110"/>
          <w:sz w:val="20"/>
        </w:rPr>
        <w:t>cumulat.</w:t>
      </w:r>
    </w:p>
    <w:p>
      <w:pPr>
        <w:pStyle w:val="ListParagraph"/>
        <w:numPr>
          <w:ilvl w:val="1"/>
          <w:numId w:val="14"/>
        </w:numPr>
        <w:tabs>
          <w:tab w:pos="276" w:val="left" w:leader="none"/>
        </w:tabs>
        <w:spacing w:line="271" w:lineRule="auto" w:before="109" w:after="0"/>
        <w:ind w:left="108" w:right="106" w:firstLine="0"/>
        <w:jc w:val="both"/>
        <w:rPr>
          <w:sz w:val="20"/>
        </w:rPr>
      </w:pPr>
      <w:r>
        <w:rPr>
          <w:w w:val="115"/>
          <w:sz w:val="20"/>
        </w:rPr>
        <w:t>Taxa pe teren se plăteşte lunar, până la data de 25 a lunii următoare fiecărei luni din perioada de valabilitate a contractului prin care se transmite dreptul de concesiune, închiriere, administrare ori folosinţă</w:t>
      </w:r>
    </w:p>
    <w:p>
      <w:pPr>
        <w:pStyle w:val="ListParagraph"/>
        <w:numPr>
          <w:ilvl w:val="1"/>
          <w:numId w:val="14"/>
        </w:numPr>
        <w:tabs>
          <w:tab w:pos="599" w:val="left" w:leader="none"/>
        </w:tabs>
        <w:spacing w:line="271" w:lineRule="auto" w:before="109" w:after="0"/>
        <w:ind w:left="108" w:right="111" w:firstLine="105"/>
        <w:jc w:val="both"/>
        <w:rPr>
          <w:sz w:val="20"/>
        </w:rPr>
      </w:pPr>
      <w:r>
        <w:rPr>
          <w:w w:val="115"/>
          <w:sz w:val="20"/>
        </w:rPr>
        <w:t>Impozitul/taxa pe teren se majorează cu 500 % pentru terenul agricol nelucrat timp de 2 ani consecutiv,începând cu al treilea an,conform art.489,alin 4 din Legea nr. 227/2015 privind Codul Fiscal,în condiţiile</w:t>
      </w:r>
      <w:r>
        <w:rPr>
          <w:spacing w:val="-2"/>
          <w:w w:val="115"/>
          <w:sz w:val="20"/>
        </w:rPr>
        <w:t> </w:t>
      </w:r>
      <w:r>
        <w:rPr>
          <w:w w:val="115"/>
          <w:sz w:val="20"/>
        </w:rPr>
        <w:t>următoare:</w:t>
      </w:r>
    </w:p>
    <w:p>
      <w:pPr>
        <w:pStyle w:val="BodyText"/>
        <w:spacing w:line="376" w:lineRule="auto"/>
        <w:ind w:left="107"/>
        <w:jc w:val="left"/>
      </w:pPr>
      <w:r>
        <w:rPr>
          <w:w w:val="110"/>
        </w:rPr>
        <w:t>Condiţiile de încadrare a terenurilor neîngrijite, situate în intravilan,cât şi a celor agricole nelucrate sunt : </w:t>
      </w:r>
      <w:r>
        <w:rPr>
          <w:w w:val="110"/>
          <w:u w:val="single"/>
        </w:rPr>
        <w:t>Terenuri neîngrijite</w:t>
      </w:r>
      <w:r>
        <w:rPr>
          <w:spacing w:val="1"/>
          <w:w w:val="110"/>
        </w:rPr>
        <w:t> </w:t>
      </w:r>
      <w:r>
        <w:rPr>
          <w:w w:val="110"/>
        </w:rPr>
        <w:t>:</w:t>
      </w:r>
    </w:p>
    <w:p>
      <w:pPr>
        <w:pStyle w:val="BodyText"/>
        <w:spacing w:before="1"/>
        <w:ind w:left="107"/>
      </w:pPr>
      <w:r>
        <w:rPr>
          <w:w w:val="115"/>
        </w:rPr>
        <w:t>-terenuri pe care sunt depozitate deşeuri menajere;</w:t>
      </w:r>
    </w:p>
    <w:p>
      <w:pPr>
        <w:pStyle w:val="BodyText"/>
        <w:spacing w:before="140"/>
        <w:ind w:left="107"/>
      </w:pPr>
      <w:r>
        <w:rPr>
          <w:w w:val="115"/>
        </w:rPr>
        <w:t>-terenuri pe care sunt depozitate resturi rezultate din activiatea de constructie;</w:t>
      </w:r>
    </w:p>
    <w:p>
      <w:pPr>
        <w:pStyle w:val="BodyText"/>
        <w:spacing w:before="139"/>
        <w:ind w:left="107"/>
      </w:pPr>
      <w:r>
        <w:rPr>
          <w:w w:val="115"/>
        </w:rPr>
        <w:t>-terenuri acoperite cu vegetaţie sălbatică (buruieni, mărăcinişuri, etc.);</w:t>
      </w:r>
    </w:p>
    <w:p>
      <w:pPr>
        <w:pStyle w:val="BodyText"/>
        <w:spacing w:before="140"/>
        <w:ind w:left="107"/>
      </w:pPr>
      <w:r>
        <w:rPr>
          <w:w w:val="115"/>
        </w:rPr>
        <w:t>-terenuri care nu sunt igienizate prin eliminare a deşeurilor de orice categorie;</w:t>
      </w:r>
    </w:p>
    <w:p>
      <w:pPr>
        <w:pStyle w:val="BodyText"/>
        <w:spacing w:before="140"/>
        <w:ind w:left="107"/>
      </w:pPr>
      <w:r>
        <w:rPr>
          <w:w w:val="115"/>
        </w:rPr>
        <w:t>-terenuri pe care se acumulează ape menajere sau ape uzate rezultate din activitati industriale;</w:t>
      </w:r>
    </w:p>
    <w:p>
      <w:pPr>
        <w:pStyle w:val="BodyText"/>
        <w:spacing w:before="139"/>
        <w:ind w:left="107"/>
      </w:pPr>
      <w:r>
        <w:rPr>
          <w:w w:val="115"/>
        </w:rPr>
        <w:t>-terenuri pe care sunt deversate diverse reziduuri;</w:t>
      </w:r>
    </w:p>
    <w:p>
      <w:pPr>
        <w:pStyle w:val="BodyText"/>
        <w:spacing w:line="271" w:lineRule="auto" w:before="140"/>
        <w:ind w:left="107" w:right="112"/>
      </w:pPr>
      <w:r>
        <w:rPr>
          <w:w w:val="115"/>
          <w:u w:val="single"/>
        </w:rPr>
        <w:t>Terenuri agricole nelucrate</w:t>
      </w:r>
      <w:r>
        <w:rPr>
          <w:rFonts w:ascii="Arial" w:hAnsi="Arial"/>
          <w:b/>
          <w:w w:val="115"/>
        </w:rPr>
        <w:t>: </w:t>
      </w:r>
      <w:r>
        <w:rPr>
          <w:w w:val="115"/>
        </w:rPr>
        <w:t>orice suprafaţă de  teren  arabil,  pajişti  permanente,  culturi permanente cu destinaţie agricolă care a fost utilizată anterior ca suprafaţă agricolă sau alte tipuri de terenuri neagricole, extravilane sau intravilane, care nu mai este lucrat, nu participă la sistemul de rotaţie a culturilor.</w:t>
      </w:r>
    </w:p>
    <w:p>
      <w:pPr>
        <w:pStyle w:val="BodyText"/>
        <w:spacing w:before="110"/>
        <w:ind w:left="107"/>
        <w:jc w:val="left"/>
      </w:pPr>
      <w:r>
        <w:rPr>
          <w:w w:val="115"/>
          <w:u w:val="single"/>
        </w:rPr>
        <w:t>Terenul necultivat</w:t>
      </w:r>
      <w:r>
        <w:rPr>
          <w:w w:val="115"/>
        </w:rPr>
        <w:t> este acel teren agricol care este lăsat necultivat în mod voit</w:t>
      </w:r>
    </w:p>
    <w:p>
      <w:pPr>
        <w:pStyle w:val="Heading2"/>
        <w:spacing w:before="142"/>
        <w:ind w:left="292"/>
      </w:pPr>
      <w:r>
        <w:rPr/>
        <w:t>SCUTIRI:</w:t>
      </w:r>
    </w:p>
    <w:p>
      <w:pPr>
        <w:pStyle w:val="ListParagraph"/>
        <w:numPr>
          <w:ilvl w:val="2"/>
          <w:numId w:val="14"/>
        </w:numPr>
        <w:tabs>
          <w:tab w:pos="695" w:val="left" w:leader="none"/>
        </w:tabs>
        <w:spacing w:line="240" w:lineRule="auto" w:before="44" w:after="0"/>
        <w:ind w:left="694" w:right="0" w:hanging="218"/>
        <w:jc w:val="left"/>
        <w:rPr>
          <w:sz w:val="20"/>
        </w:rPr>
      </w:pPr>
      <w:r>
        <w:rPr/>
        <w:pict>
          <v:line style="position:absolute;mso-position-horizontal-relative:page;mso-position-vertical-relative:paragraph;z-index:1168" from="62.400002pt,12.872977pt" to="64.703100pt,12.872977pt" stroked="true" strokeweight=".76770pt" strokecolor="#3da7f6">
            <v:stroke dashstyle="solid"/>
            <w10:wrap type="none"/>
          </v:line>
        </w:pict>
      </w:r>
      <w:r>
        <w:rPr>
          <w:w w:val="115"/>
          <w:sz w:val="20"/>
        </w:rPr>
        <w:t>Nu se datorează impozit/taxă pe teren</w:t>
      </w:r>
      <w:r>
        <w:rPr>
          <w:spacing w:val="-9"/>
          <w:w w:val="115"/>
          <w:sz w:val="20"/>
        </w:rPr>
        <w:t> </w:t>
      </w:r>
      <w:r>
        <w:rPr>
          <w:w w:val="115"/>
          <w:sz w:val="20"/>
        </w:rPr>
        <w:t>pentru:</w:t>
      </w:r>
    </w:p>
    <w:p>
      <w:pPr>
        <w:pStyle w:val="ListParagraph"/>
        <w:numPr>
          <w:ilvl w:val="0"/>
          <w:numId w:val="16"/>
        </w:numPr>
        <w:tabs>
          <w:tab w:pos="363" w:val="left" w:leader="none"/>
        </w:tabs>
        <w:spacing w:line="271" w:lineRule="auto" w:before="139" w:after="0"/>
        <w:ind w:left="108" w:right="118" w:firstLine="0"/>
        <w:jc w:val="left"/>
        <w:rPr>
          <w:rFonts w:ascii="Arial" w:hAnsi="Arial"/>
          <w:sz w:val="20"/>
        </w:rPr>
      </w:pPr>
      <w:r>
        <w:rPr>
          <w:w w:val="115"/>
          <w:sz w:val="20"/>
        </w:rPr>
        <w:t>terenurile aflate în proprietatea publică sau privată a statului ori a unităţilor administrativ-teritoriale, cu excepţia suprafeţelor folosite pentru activităţi economice sau</w:t>
      </w:r>
      <w:r>
        <w:rPr>
          <w:spacing w:val="-22"/>
          <w:w w:val="115"/>
          <w:sz w:val="20"/>
        </w:rPr>
        <w:t> </w:t>
      </w:r>
      <w:r>
        <w:rPr>
          <w:w w:val="115"/>
          <w:sz w:val="20"/>
        </w:rPr>
        <w:t>agrement;</w:t>
      </w:r>
    </w:p>
    <w:p>
      <w:pPr>
        <w:pStyle w:val="ListParagraph"/>
        <w:numPr>
          <w:ilvl w:val="0"/>
          <w:numId w:val="16"/>
        </w:numPr>
        <w:tabs>
          <w:tab w:pos="387" w:val="left" w:leader="none"/>
        </w:tabs>
        <w:spacing w:line="240" w:lineRule="auto" w:before="109" w:after="0"/>
        <w:ind w:left="386" w:right="0" w:hanging="278"/>
        <w:jc w:val="both"/>
        <w:rPr>
          <w:rFonts w:ascii="Arial" w:hAnsi="Arial"/>
          <w:sz w:val="20"/>
        </w:rPr>
      </w:pPr>
      <w:r>
        <w:rPr>
          <w:w w:val="115"/>
          <w:sz w:val="20"/>
        </w:rPr>
        <w:t>terenurile</w:t>
      </w:r>
      <w:r>
        <w:rPr>
          <w:spacing w:val="33"/>
          <w:w w:val="115"/>
          <w:sz w:val="20"/>
        </w:rPr>
        <w:t> </w:t>
      </w:r>
      <w:r>
        <w:rPr>
          <w:w w:val="115"/>
          <w:sz w:val="20"/>
        </w:rPr>
        <w:t>aflate</w:t>
      </w:r>
      <w:r>
        <w:rPr>
          <w:spacing w:val="33"/>
          <w:w w:val="115"/>
          <w:sz w:val="20"/>
        </w:rPr>
        <w:t> </w:t>
      </w:r>
      <w:r>
        <w:rPr>
          <w:w w:val="115"/>
          <w:sz w:val="20"/>
        </w:rPr>
        <w:t>în</w:t>
      </w:r>
      <w:r>
        <w:rPr>
          <w:spacing w:val="33"/>
          <w:w w:val="115"/>
          <w:sz w:val="20"/>
        </w:rPr>
        <w:t> </w:t>
      </w:r>
      <w:r>
        <w:rPr>
          <w:w w:val="115"/>
          <w:sz w:val="20"/>
        </w:rPr>
        <w:t>domeniul</w:t>
      </w:r>
      <w:r>
        <w:rPr>
          <w:spacing w:val="33"/>
          <w:w w:val="115"/>
          <w:sz w:val="20"/>
        </w:rPr>
        <w:t> </w:t>
      </w:r>
      <w:r>
        <w:rPr>
          <w:w w:val="115"/>
          <w:sz w:val="20"/>
        </w:rPr>
        <w:t>privat</w:t>
      </w:r>
      <w:r>
        <w:rPr>
          <w:spacing w:val="32"/>
          <w:w w:val="115"/>
          <w:sz w:val="20"/>
        </w:rPr>
        <w:t> </w:t>
      </w:r>
      <w:r>
        <w:rPr>
          <w:w w:val="115"/>
          <w:sz w:val="20"/>
        </w:rPr>
        <w:t>al</w:t>
      </w:r>
      <w:r>
        <w:rPr>
          <w:spacing w:val="33"/>
          <w:w w:val="115"/>
          <w:sz w:val="20"/>
        </w:rPr>
        <w:t> </w:t>
      </w:r>
      <w:r>
        <w:rPr>
          <w:w w:val="115"/>
          <w:sz w:val="20"/>
        </w:rPr>
        <w:t>statului</w:t>
      </w:r>
      <w:r>
        <w:rPr>
          <w:spacing w:val="33"/>
          <w:w w:val="115"/>
          <w:sz w:val="20"/>
        </w:rPr>
        <w:t> </w:t>
      </w:r>
      <w:r>
        <w:rPr>
          <w:w w:val="115"/>
          <w:sz w:val="20"/>
        </w:rPr>
        <w:t>concesionate,</w:t>
      </w:r>
      <w:r>
        <w:rPr>
          <w:spacing w:val="33"/>
          <w:w w:val="115"/>
          <w:sz w:val="20"/>
        </w:rPr>
        <w:t> </w:t>
      </w:r>
      <w:r>
        <w:rPr>
          <w:w w:val="115"/>
          <w:sz w:val="20"/>
        </w:rPr>
        <w:t>închiriate,</w:t>
      </w:r>
      <w:r>
        <w:rPr>
          <w:spacing w:val="33"/>
          <w:w w:val="115"/>
          <w:sz w:val="20"/>
        </w:rPr>
        <w:t> </w:t>
      </w:r>
      <w:r>
        <w:rPr>
          <w:w w:val="115"/>
          <w:sz w:val="20"/>
        </w:rPr>
        <w:t>date</w:t>
      </w:r>
      <w:r>
        <w:rPr>
          <w:spacing w:val="33"/>
          <w:w w:val="115"/>
          <w:sz w:val="20"/>
        </w:rPr>
        <w:t> </w:t>
      </w:r>
      <w:r>
        <w:rPr>
          <w:w w:val="115"/>
          <w:sz w:val="20"/>
        </w:rPr>
        <w:t>în</w:t>
      </w:r>
      <w:r>
        <w:rPr>
          <w:spacing w:val="33"/>
          <w:w w:val="115"/>
          <w:sz w:val="20"/>
        </w:rPr>
        <w:t> </w:t>
      </w:r>
      <w:r>
        <w:rPr>
          <w:w w:val="115"/>
          <w:sz w:val="20"/>
        </w:rPr>
        <w:t>administrare</w:t>
      </w:r>
      <w:r>
        <w:rPr>
          <w:spacing w:val="34"/>
          <w:w w:val="115"/>
          <w:sz w:val="20"/>
        </w:rPr>
        <w:t> </w:t>
      </w:r>
      <w:r>
        <w:rPr>
          <w:w w:val="115"/>
          <w:sz w:val="20"/>
        </w:rPr>
        <w:t>ori</w:t>
      </w:r>
      <w:r>
        <w:rPr>
          <w:spacing w:val="33"/>
          <w:w w:val="115"/>
          <w:sz w:val="20"/>
        </w:rPr>
        <w:t> </w:t>
      </w:r>
      <w:r>
        <w:rPr>
          <w:w w:val="115"/>
          <w:sz w:val="20"/>
        </w:rPr>
        <w:t>în</w:t>
      </w:r>
    </w:p>
    <w:p>
      <w:pPr>
        <w:spacing w:after="0" w:line="240" w:lineRule="auto"/>
        <w:jc w:val="both"/>
        <w:rPr>
          <w:rFonts w:ascii="Arial" w:hAnsi="Arial"/>
          <w:sz w:val="20"/>
        </w:rPr>
        <w:sectPr>
          <w:pgSz w:w="11900" w:h="16840"/>
          <w:pgMar w:header="0" w:footer="341" w:top="580" w:bottom="560" w:left="1140" w:right="740"/>
        </w:sectPr>
      </w:pPr>
    </w:p>
    <w:p>
      <w:pPr>
        <w:pStyle w:val="BodyText"/>
        <w:spacing w:line="271" w:lineRule="auto" w:before="100"/>
        <w:ind w:left="107" w:right="112"/>
      </w:pPr>
      <w:r>
        <w:rPr>
          <w:w w:val="115"/>
        </w:rPr>
        <w:t>folosinţă, după caz, instituţiilor publice cu finanţare de la bugetul de stat, utilizate pentru activitatea proprie a acestora;</w:t>
      </w:r>
    </w:p>
    <w:p>
      <w:pPr>
        <w:pStyle w:val="ListParagraph"/>
        <w:numPr>
          <w:ilvl w:val="0"/>
          <w:numId w:val="16"/>
        </w:numPr>
        <w:tabs>
          <w:tab w:pos="380" w:val="left" w:leader="none"/>
        </w:tabs>
        <w:spacing w:line="271" w:lineRule="auto" w:before="109" w:after="0"/>
        <w:ind w:left="108" w:right="109" w:firstLine="0"/>
        <w:jc w:val="both"/>
        <w:rPr>
          <w:rFonts w:ascii="Arial" w:hAnsi="Arial"/>
          <w:sz w:val="20"/>
        </w:rPr>
      </w:pPr>
      <w:r>
        <w:rPr>
          <w:w w:val="115"/>
          <w:sz w:val="20"/>
        </w:rPr>
        <w:t>terenurile fundaţiilor înfiinţate prin testament, constituite conform legii, cu scopul de a întreţine, dezvolta şi ajuta instituţii de cultură naţională, precum şi de a susţine acţiuni cu caracter umanitar, social şi</w:t>
      </w:r>
      <w:r>
        <w:rPr>
          <w:spacing w:val="-1"/>
          <w:w w:val="115"/>
          <w:sz w:val="20"/>
        </w:rPr>
        <w:t> </w:t>
      </w:r>
      <w:r>
        <w:rPr>
          <w:w w:val="115"/>
          <w:sz w:val="20"/>
        </w:rPr>
        <w:t>cultural;</w:t>
      </w:r>
    </w:p>
    <w:p>
      <w:pPr>
        <w:pStyle w:val="ListParagraph"/>
        <w:numPr>
          <w:ilvl w:val="0"/>
          <w:numId w:val="16"/>
        </w:numPr>
        <w:tabs>
          <w:tab w:pos="423" w:val="left" w:leader="none"/>
        </w:tabs>
        <w:spacing w:line="271" w:lineRule="auto" w:before="109" w:after="0"/>
        <w:ind w:left="108" w:right="110" w:firstLine="0"/>
        <w:jc w:val="both"/>
        <w:rPr>
          <w:rFonts w:ascii="Arial" w:hAnsi="Arial"/>
          <w:sz w:val="20"/>
        </w:rPr>
      </w:pPr>
      <w:r>
        <w:rPr>
          <w:w w:val="115"/>
          <w:sz w:val="20"/>
        </w:rPr>
        <w:t>terenurile aparţinând cultelor religioase recunoscute oficial şi asociaţiilor religioase, precum şi componentelor locale ale acestora, cu excepţia suprafeţelor care sunt folosite pentru activităţi economice;</w:t>
      </w:r>
    </w:p>
    <w:p>
      <w:pPr>
        <w:pStyle w:val="ListParagraph"/>
        <w:numPr>
          <w:ilvl w:val="0"/>
          <w:numId w:val="16"/>
        </w:numPr>
        <w:tabs>
          <w:tab w:pos="345" w:val="left" w:leader="none"/>
        </w:tabs>
        <w:spacing w:line="240" w:lineRule="auto" w:before="109" w:after="0"/>
        <w:ind w:left="344" w:right="0" w:hanging="236"/>
        <w:jc w:val="both"/>
        <w:rPr>
          <w:rFonts w:ascii="Arial" w:hAnsi="Arial"/>
          <w:sz w:val="20"/>
        </w:rPr>
      </w:pPr>
      <w:r>
        <w:rPr>
          <w:w w:val="115"/>
          <w:sz w:val="20"/>
        </w:rPr>
        <w:t>terenurile aparţinând cimitirelor şi</w:t>
      </w:r>
      <w:r>
        <w:rPr>
          <w:spacing w:val="-6"/>
          <w:w w:val="115"/>
          <w:sz w:val="20"/>
        </w:rPr>
        <w:t> </w:t>
      </w:r>
      <w:r>
        <w:rPr>
          <w:w w:val="115"/>
          <w:sz w:val="20"/>
        </w:rPr>
        <w:t>crematoriilor;</w:t>
      </w:r>
    </w:p>
    <w:p>
      <w:pPr>
        <w:pStyle w:val="ListParagraph"/>
        <w:numPr>
          <w:ilvl w:val="0"/>
          <w:numId w:val="16"/>
        </w:numPr>
        <w:tabs>
          <w:tab w:pos="299" w:val="left" w:leader="none"/>
        </w:tabs>
        <w:spacing w:line="271" w:lineRule="auto" w:before="139" w:after="0"/>
        <w:ind w:left="108" w:right="114" w:firstLine="0"/>
        <w:jc w:val="both"/>
        <w:rPr>
          <w:rFonts w:ascii="Arial" w:hAnsi="Arial"/>
          <w:sz w:val="20"/>
        </w:rPr>
      </w:pPr>
      <w:r>
        <w:rPr>
          <w:w w:val="115"/>
          <w:sz w:val="20"/>
        </w:rPr>
        <w:t>terenurile</w:t>
      </w:r>
      <w:r>
        <w:rPr>
          <w:spacing w:val="-12"/>
          <w:w w:val="115"/>
          <w:sz w:val="20"/>
        </w:rPr>
        <w:t> </w:t>
      </w:r>
      <w:r>
        <w:rPr>
          <w:w w:val="115"/>
          <w:sz w:val="20"/>
        </w:rPr>
        <w:t>utilizate</w:t>
      </w:r>
      <w:r>
        <w:rPr>
          <w:spacing w:val="-12"/>
          <w:w w:val="115"/>
          <w:sz w:val="20"/>
        </w:rPr>
        <w:t> </w:t>
      </w:r>
      <w:r>
        <w:rPr>
          <w:w w:val="115"/>
          <w:sz w:val="20"/>
        </w:rPr>
        <w:t>de</w:t>
      </w:r>
      <w:r>
        <w:rPr>
          <w:spacing w:val="-11"/>
          <w:w w:val="115"/>
          <w:sz w:val="20"/>
        </w:rPr>
        <w:t> </w:t>
      </w:r>
      <w:r>
        <w:rPr>
          <w:w w:val="115"/>
          <w:sz w:val="20"/>
        </w:rPr>
        <w:t>unităţile</w:t>
      </w:r>
      <w:r>
        <w:rPr>
          <w:spacing w:val="-12"/>
          <w:w w:val="115"/>
          <w:sz w:val="20"/>
        </w:rPr>
        <w:t> </w:t>
      </w:r>
      <w:r>
        <w:rPr>
          <w:w w:val="115"/>
          <w:sz w:val="20"/>
        </w:rPr>
        <w:t>şi</w:t>
      </w:r>
      <w:r>
        <w:rPr>
          <w:spacing w:val="-11"/>
          <w:w w:val="115"/>
          <w:sz w:val="20"/>
        </w:rPr>
        <w:t> </w:t>
      </w:r>
      <w:r>
        <w:rPr>
          <w:w w:val="115"/>
          <w:sz w:val="20"/>
        </w:rPr>
        <w:t>instituţiile</w:t>
      </w:r>
      <w:r>
        <w:rPr>
          <w:spacing w:val="-12"/>
          <w:w w:val="115"/>
          <w:sz w:val="20"/>
        </w:rPr>
        <w:t> </w:t>
      </w:r>
      <w:r>
        <w:rPr>
          <w:w w:val="115"/>
          <w:sz w:val="20"/>
        </w:rPr>
        <w:t>de</w:t>
      </w:r>
      <w:r>
        <w:rPr>
          <w:spacing w:val="-11"/>
          <w:w w:val="115"/>
          <w:sz w:val="20"/>
        </w:rPr>
        <w:t> </w:t>
      </w:r>
      <w:r>
        <w:rPr>
          <w:w w:val="115"/>
          <w:sz w:val="20"/>
        </w:rPr>
        <w:t>învăţământ</w:t>
      </w:r>
      <w:r>
        <w:rPr>
          <w:spacing w:val="-12"/>
          <w:w w:val="115"/>
          <w:sz w:val="20"/>
        </w:rPr>
        <w:t> </w:t>
      </w:r>
      <w:r>
        <w:rPr>
          <w:w w:val="115"/>
          <w:sz w:val="20"/>
        </w:rPr>
        <w:t>de</w:t>
      </w:r>
      <w:r>
        <w:rPr>
          <w:spacing w:val="-11"/>
          <w:w w:val="115"/>
          <w:sz w:val="20"/>
        </w:rPr>
        <w:t> </w:t>
      </w:r>
      <w:r>
        <w:rPr>
          <w:w w:val="115"/>
          <w:sz w:val="20"/>
        </w:rPr>
        <w:t>stat,</w:t>
      </w:r>
      <w:r>
        <w:rPr>
          <w:spacing w:val="-12"/>
          <w:w w:val="115"/>
          <w:sz w:val="20"/>
        </w:rPr>
        <w:t> </w:t>
      </w:r>
      <w:r>
        <w:rPr>
          <w:w w:val="115"/>
          <w:sz w:val="20"/>
        </w:rPr>
        <w:t>confesional</w:t>
      </w:r>
      <w:r>
        <w:rPr>
          <w:spacing w:val="-11"/>
          <w:w w:val="115"/>
          <w:sz w:val="20"/>
        </w:rPr>
        <w:t> </w:t>
      </w:r>
      <w:r>
        <w:rPr>
          <w:w w:val="115"/>
          <w:sz w:val="20"/>
        </w:rPr>
        <w:t>sau</w:t>
      </w:r>
      <w:r>
        <w:rPr>
          <w:spacing w:val="-12"/>
          <w:w w:val="115"/>
          <w:sz w:val="20"/>
        </w:rPr>
        <w:t> </w:t>
      </w:r>
      <w:r>
        <w:rPr>
          <w:w w:val="115"/>
          <w:sz w:val="20"/>
        </w:rPr>
        <w:t>particular,</w:t>
      </w:r>
      <w:r>
        <w:rPr>
          <w:spacing w:val="-11"/>
          <w:w w:val="115"/>
          <w:sz w:val="20"/>
        </w:rPr>
        <w:t> </w:t>
      </w:r>
      <w:r>
        <w:rPr>
          <w:w w:val="115"/>
          <w:sz w:val="20"/>
        </w:rPr>
        <w:t>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w:t>
      </w:r>
      <w:r>
        <w:rPr>
          <w:spacing w:val="-7"/>
          <w:w w:val="115"/>
          <w:sz w:val="20"/>
        </w:rPr>
        <w:t> </w:t>
      </w:r>
      <w:r>
        <w:rPr>
          <w:w w:val="115"/>
          <w:sz w:val="20"/>
        </w:rPr>
        <w:t>definite</w:t>
      </w:r>
      <w:r>
        <w:rPr>
          <w:spacing w:val="-7"/>
          <w:w w:val="115"/>
          <w:sz w:val="20"/>
        </w:rPr>
        <w:t> </w:t>
      </w:r>
      <w:r>
        <w:rPr>
          <w:w w:val="115"/>
          <w:sz w:val="20"/>
        </w:rPr>
        <w:t>şi</w:t>
      </w:r>
      <w:r>
        <w:rPr>
          <w:spacing w:val="-7"/>
          <w:w w:val="115"/>
          <w:sz w:val="20"/>
        </w:rPr>
        <w:t> </w:t>
      </w:r>
      <w:r>
        <w:rPr>
          <w:w w:val="115"/>
          <w:sz w:val="20"/>
        </w:rPr>
        <w:t>funcţionează</w:t>
      </w:r>
      <w:r>
        <w:rPr>
          <w:spacing w:val="-7"/>
          <w:w w:val="115"/>
          <w:sz w:val="20"/>
        </w:rPr>
        <w:t> </w:t>
      </w:r>
      <w:r>
        <w:rPr>
          <w:w w:val="115"/>
          <w:sz w:val="20"/>
        </w:rPr>
        <w:t>potrivit</w:t>
      </w:r>
      <w:hyperlink r:id="rId8">
        <w:r>
          <w:rPr>
            <w:color w:val="3DA7F6"/>
            <w:spacing w:val="-7"/>
            <w:w w:val="115"/>
            <w:sz w:val="20"/>
            <w:u w:val="single" w:color="3DA7F6"/>
          </w:rPr>
          <w:t> </w:t>
        </w:r>
        <w:r>
          <w:rPr>
            <w:color w:val="3DA7F6"/>
            <w:w w:val="115"/>
            <w:sz w:val="20"/>
            <w:u w:val="single" w:color="3DA7F6"/>
          </w:rPr>
          <w:t>Legii</w:t>
        </w:r>
        <w:r>
          <w:rPr>
            <w:color w:val="3DA7F6"/>
            <w:spacing w:val="-7"/>
            <w:w w:val="115"/>
            <w:sz w:val="20"/>
            <w:u w:val="single" w:color="3DA7F6"/>
          </w:rPr>
          <w:t> </w:t>
        </w:r>
        <w:r>
          <w:rPr>
            <w:color w:val="3DA7F6"/>
            <w:w w:val="115"/>
            <w:sz w:val="20"/>
            <w:u w:val="single" w:color="3DA7F6"/>
          </w:rPr>
          <w:t>nr.</w:t>
        </w:r>
        <w:r>
          <w:rPr>
            <w:color w:val="3DA7F6"/>
            <w:spacing w:val="-7"/>
            <w:w w:val="115"/>
            <w:sz w:val="20"/>
            <w:u w:val="single" w:color="3DA7F6"/>
          </w:rPr>
          <w:t> </w:t>
        </w:r>
        <w:r>
          <w:rPr>
            <w:color w:val="3DA7F6"/>
            <w:w w:val="115"/>
            <w:sz w:val="20"/>
            <w:u w:val="single" w:color="3DA7F6"/>
          </w:rPr>
          <w:t>263/2007</w:t>
        </w:r>
      </w:hyperlink>
      <w:r>
        <w:rPr>
          <w:color w:val="3DA7F6"/>
          <w:w w:val="115"/>
          <w:sz w:val="20"/>
          <w:u w:val="single" w:color="3DA7F6"/>
        </w:rPr>
        <w:t>,</w:t>
      </w:r>
      <w:r>
        <w:rPr>
          <w:color w:val="3DA7F6"/>
          <w:spacing w:val="-14"/>
          <w:w w:val="115"/>
          <w:sz w:val="20"/>
        </w:rPr>
        <w:t> </w:t>
      </w:r>
      <w:r>
        <w:rPr>
          <w:w w:val="115"/>
          <w:sz w:val="20"/>
        </w:rPr>
        <w:t>cu</w:t>
      </w:r>
      <w:r>
        <w:rPr>
          <w:spacing w:val="-7"/>
          <w:w w:val="115"/>
          <w:sz w:val="20"/>
        </w:rPr>
        <w:t> </w:t>
      </w:r>
      <w:r>
        <w:rPr>
          <w:w w:val="115"/>
          <w:sz w:val="20"/>
        </w:rPr>
        <w:t>modificările</w:t>
      </w:r>
      <w:r>
        <w:rPr>
          <w:spacing w:val="-7"/>
          <w:w w:val="115"/>
          <w:sz w:val="20"/>
        </w:rPr>
        <w:t> </w:t>
      </w:r>
      <w:r>
        <w:rPr>
          <w:w w:val="115"/>
          <w:sz w:val="20"/>
        </w:rPr>
        <w:t>şi</w:t>
      </w:r>
      <w:r>
        <w:rPr>
          <w:spacing w:val="-7"/>
          <w:w w:val="115"/>
          <w:sz w:val="20"/>
        </w:rPr>
        <w:t> </w:t>
      </w:r>
      <w:r>
        <w:rPr>
          <w:w w:val="115"/>
          <w:sz w:val="20"/>
        </w:rPr>
        <w:t>completările</w:t>
      </w:r>
      <w:r>
        <w:rPr>
          <w:spacing w:val="-7"/>
          <w:w w:val="115"/>
          <w:sz w:val="20"/>
        </w:rPr>
        <w:t> </w:t>
      </w:r>
      <w:r>
        <w:rPr>
          <w:w w:val="115"/>
          <w:sz w:val="20"/>
        </w:rPr>
        <w:t>ulterioare;</w:t>
      </w:r>
    </w:p>
    <w:p>
      <w:pPr>
        <w:pStyle w:val="ListParagraph"/>
        <w:numPr>
          <w:ilvl w:val="0"/>
          <w:numId w:val="16"/>
        </w:numPr>
        <w:tabs>
          <w:tab w:pos="329" w:val="left" w:leader="none"/>
        </w:tabs>
        <w:spacing w:line="240" w:lineRule="auto" w:before="110" w:after="0"/>
        <w:ind w:left="328" w:right="0" w:hanging="220"/>
        <w:jc w:val="both"/>
        <w:rPr>
          <w:rFonts w:ascii="Arial" w:hAnsi="Arial"/>
          <w:sz w:val="20"/>
        </w:rPr>
      </w:pPr>
      <w:r>
        <w:rPr>
          <w:w w:val="115"/>
          <w:sz w:val="20"/>
        </w:rPr>
        <w:t>terenurile</w:t>
      </w:r>
      <w:r>
        <w:rPr>
          <w:spacing w:val="-9"/>
          <w:w w:val="115"/>
          <w:sz w:val="20"/>
        </w:rPr>
        <w:t> </w:t>
      </w:r>
      <w:r>
        <w:rPr>
          <w:w w:val="115"/>
          <w:sz w:val="20"/>
        </w:rPr>
        <w:t>unităţilor</w:t>
      </w:r>
      <w:r>
        <w:rPr>
          <w:spacing w:val="-8"/>
          <w:w w:val="115"/>
          <w:sz w:val="20"/>
        </w:rPr>
        <w:t> </w:t>
      </w:r>
      <w:r>
        <w:rPr>
          <w:w w:val="115"/>
          <w:sz w:val="20"/>
        </w:rPr>
        <w:t>sanitare</w:t>
      </w:r>
      <w:r>
        <w:rPr>
          <w:spacing w:val="-8"/>
          <w:w w:val="115"/>
          <w:sz w:val="20"/>
        </w:rPr>
        <w:t> </w:t>
      </w:r>
      <w:r>
        <w:rPr>
          <w:w w:val="115"/>
          <w:sz w:val="20"/>
        </w:rPr>
        <w:t>publice,</w:t>
      </w:r>
      <w:r>
        <w:rPr>
          <w:spacing w:val="-8"/>
          <w:w w:val="115"/>
          <w:sz w:val="20"/>
        </w:rPr>
        <w:t> </w:t>
      </w:r>
      <w:r>
        <w:rPr>
          <w:w w:val="115"/>
          <w:sz w:val="20"/>
        </w:rPr>
        <w:t>cu</w:t>
      </w:r>
      <w:r>
        <w:rPr>
          <w:spacing w:val="-8"/>
          <w:w w:val="115"/>
          <w:sz w:val="20"/>
        </w:rPr>
        <w:t> </w:t>
      </w:r>
      <w:r>
        <w:rPr>
          <w:w w:val="115"/>
          <w:sz w:val="20"/>
        </w:rPr>
        <w:t>excepţia</w:t>
      </w:r>
      <w:r>
        <w:rPr>
          <w:spacing w:val="-9"/>
          <w:w w:val="115"/>
          <w:sz w:val="20"/>
        </w:rPr>
        <w:t> </w:t>
      </w:r>
      <w:r>
        <w:rPr>
          <w:w w:val="115"/>
          <w:sz w:val="20"/>
        </w:rPr>
        <w:t>suprafeţelor</w:t>
      </w:r>
      <w:r>
        <w:rPr>
          <w:spacing w:val="-8"/>
          <w:w w:val="115"/>
          <w:sz w:val="20"/>
        </w:rPr>
        <w:t> </w:t>
      </w:r>
      <w:r>
        <w:rPr>
          <w:w w:val="115"/>
          <w:sz w:val="20"/>
        </w:rPr>
        <w:t>folosite</w:t>
      </w:r>
      <w:r>
        <w:rPr>
          <w:spacing w:val="-8"/>
          <w:w w:val="115"/>
          <w:sz w:val="20"/>
        </w:rPr>
        <w:t> </w:t>
      </w:r>
      <w:r>
        <w:rPr>
          <w:w w:val="115"/>
          <w:sz w:val="20"/>
        </w:rPr>
        <w:t>pentru</w:t>
      </w:r>
      <w:r>
        <w:rPr>
          <w:spacing w:val="-8"/>
          <w:w w:val="115"/>
          <w:sz w:val="20"/>
        </w:rPr>
        <w:t> </w:t>
      </w:r>
      <w:r>
        <w:rPr>
          <w:w w:val="115"/>
          <w:sz w:val="20"/>
        </w:rPr>
        <w:t>activităţi</w:t>
      </w:r>
      <w:r>
        <w:rPr>
          <w:spacing w:val="-8"/>
          <w:w w:val="115"/>
          <w:sz w:val="20"/>
        </w:rPr>
        <w:t> </w:t>
      </w:r>
      <w:r>
        <w:rPr>
          <w:w w:val="115"/>
          <w:sz w:val="20"/>
        </w:rPr>
        <w:t>economice;</w:t>
      </w:r>
    </w:p>
    <w:p>
      <w:pPr>
        <w:pStyle w:val="ListParagraph"/>
        <w:numPr>
          <w:ilvl w:val="0"/>
          <w:numId w:val="16"/>
        </w:numPr>
        <w:tabs>
          <w:tab w:pos="363" w:val="left" w:leader="none"/>
        </w:tabs>
        <w:spacing w:line="271" w:lineRule="auto" w:before="140" w:after="0"/>
        <w:ind w:left="108" w:right="106" w:firstLine="0"/>
        <w:jc w:val="both"/>
        <w:rPr>
          <w:rFonts w:ascii="Arial" w:hAnsi="Arial"/>
          <w:sz w:val="20"/>
        </w:rPr>
      </w:pPr>
      <w:r>
        <w:rPr>
          <w:w w:val="115"/>
          <w:sz w:val="20"/>
        </w:rPr>
        <w:t>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w:t>
      </w:r>
      <w:r>
        <w:rPr>
          <w:spacing w:val="-15"/>
          <w:w w:val="115"/>
          <w:sz w:val="20"/>
        </w:rPr>
        <w:t> </w:t>
      </w:r>
      <w:r>
        <w:rPr>
          <w:w w:val="115"/>
          <w:sz w:val="20"/>
        </w:rPr>
        <w:t>imobiliară;</w:t>
      </w:r>
    </w:p>
    <w:p>
      <w:pPr>
        <w:pStyle w:val="ListParagraph"/>
        <w:numPr>
          <w:ilvl w:val="0"/>
          <w:numId w:val="16"/>
        </w:numPr>
        <w:tabs>
          <w:tab w:pos="395" w:val="left" w:leader="none"/>
        </w:tabs>
        <w:spacing w:line="271" w:lineRule="auto" w:before="109" w:after="0"/>
        <w:ind w:left="108" w:right="107" w:firstLine="0"/>
        <w:jc w:val="both"/>
        <w:rPr>
          <w:rFonts w:ascii="Arial" w:hAnsi="Arial"/>
          <w:sz w:val="20"/>
        </w:rPr>
      </w:pPr>
      <w:r>
        <w:rPr>
          <w:w w:val="115"/>
          <w:sz w:val="20"/>
        </w:rP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w:t>
      </w:r>
      <w:r>
        <w:rPr>
          <w:spacing w:val="-4"/>
          <w:w w:val="115"/>
          <w:sz w:val="20"/>
        </w:rPr>
        <w:t> </w:t>
      </w:r>
      <w:r>
        <w:rPr>
          <w:w w:val="115"/>
          <w:sz w:val="20"/>
        </w:rPr>
        <w:t>hotărâre</w:t>
      </w:r>
      <w:r>
        <w:rPr>
          <w:spacing w:val="-4"/>
          <w:w w:val="115"/>
          <w:sz w:val="20"/>
        </w:rPr>
        <w:t> </w:t>
      </w:r>
      <w:r>
        <w:rPr>
          <w:w w:val="115"/>
          <w:sz w:val="20"/>
        </w:rPr>
        <w:t>a</w:t>
      </w:r>
      <w:r>
        <w:rPr>
          <w:spacing w:val="-3"/>
          <w:w w:val="115"/>
          <w:sz w:val="20"/>
        </w:rPr>
        <w:t> </w:t>
      </w:r>
      <w:r>
        <w:rPr>
          <w:w w:val="115"/>
          <w:sz w:val="20"/>
        </w:rPr>
        <w:t>consiliului</w:t>
      </w:r>
      <w:r>
        <w:rPr>
          <w:spacing w:val="-4"/>
          <w:w w:val="115"/>
          <w:sz w:val="20"/>
        </w:rPr>
        <w:t> </w:t>
      </w:r>
      <w:r>
        <w:rPr>
          <w:w w:val="115"/>
          <w:sz w:val="20"/>
        </w:rPr>
        <w:t>local,</w:t>
      </w:r>
      <w:r>
        <w:rPr>
          <w:spacing w:val="-3"/>
          <w:w w:val="115"/>
          <w:sz w:val="20"/>
        </w:rPr>
        <w:t> </w:t>
      </w:r>
      <w:r>
        <w:rPr>
          <w:w w:val="115"/>
          <w:sz w:val="20"/>
        </w:rPr>
        <w:t>în</w:t>
      </w:r>
      <w:r>
        <w:rPr>
          <w:spacing w:val="-4"/>
          <w:w w:val="115"/>
          <w:sz w:val="20"/>
        </w:rPr>
        <w:t> </w:t>
      </w:r>
      <w:r>
        <w:rPr>
          <w:w w:val="115"/>
          <w:sz w:val="20"/>
        </w:rPr>
        <w:t>măsura</w:t>
      </w:r>
      <w:r>
        <w:rPr>
          <w:spacing w:val="-3"/>
          <w:w w:val="115"/>
          <w:sz w:val="20"/>
        </w:rPr>
        <w:t> </w:t>
      </w:r>
      <w:r>
        <w:rPr>
          <w:w w:val="115"/>
          <w:sz w:val="20"/>
        </w:rPr>
        <w:t>în</w:t>
      </w:r>
      <w:r>
        <w:rPr>
          <w:spacing w:val="-4"/>
          <w:w w:val="115"/>
          <w:sz w:val="20"/>
        </w:rPr>
        <w:t> </w:t>
      </w:r>
      <w:r>
        <w:rPr>
          <w:w w:val="115"/>
          <w:sz w:val="20"/>
        </w:rPr>
        <w:t>care</w:t>
      </w:r>
      <w:r>
        <w:rPr>
          <w:spacing w:val="-3"/>
          <w:w w:val="115"/>
          <w:sz w:val="20"/>
        </w:rPr>
        <w:t> </w:t>
      </w:r>
      <w:r>
        <w:rPr>
          <w:w w:val="115"/>
          <w:sz w:val="20"/>
        </w:rPr>
        <w:t>nu</w:t>
      </w:r>
      <w:r>
        <w:rPr>
          <w:spacing w:val="-4"/>
          <w:w w:val="115"/>
          <w:sz w:val="20"/>
        </w:rPr>
        <w:t> </w:t>
      </w:r>
      <w:r>
        <w:rPr>
          <w:w w:val="115"/>
          <w:sz w:val="20"/>
        </w:rPr>
        <w:t>afectează</w:t>
      </w:r>
      <w:r>
        <w:rPr>
          <w:spacing w:val="-4"/>
          <w:w w:val="115"/>
          <w:sz w:val="20"/>
        </w:rPr>
        <w:t> </w:t>
      </w:r>
      <w:r>
        <w:rPr>
          <w:w w:val="115"/>
          <w:sz w:val="20"/>
        </w:rPr>
        <w:t>folosirea</w:t>
      </w:r>
      <w:r>
        <w:rPr>
          <w:spacing w:val="-3"/>
          <w:w w:val="115"/>
          <w:sz w:val="20"/>
        </w:rPr>
        <w:t> </w:t>
      </w:r>
      <w:r>
        <w:rPr>
          <w:w w:val="115"/>
          <w:sz w:val="20"/>
        </w:rPr>
        <w:t>suprafeţei</w:t>
      </w:r>
      <w:r>
        <w:rPr>
          <w:spacing w:val="-4"/>
          <w:w w:val="115"/>
          <w:sz w:val="20"/>
        </w:rPr>
        <w:t> </w:t>
      </w:r>
      <w:r>
        <w:rPr>
          <w:w w:val="115"/>
          <w:sz w:val="20"/>
        </w:rPr>
        <w:t>solului;</w:t>
      </w:r>
    </w:p>
    <w:p>
      <w:pPr>
        <w:pStyle w:val="ListParagraph"/>
        <w:numPr>
          <w:ilvl w:val="0"/>
          <w:numId w:val="16"/>
        </w:numPr>
        <w:tabs>
          <w:tab w:pos="317" w:val="left" w:leader="none"/>
        </w:tabs>
        <w:spacing w:line="271" w:lineRule="auto" w:before="110" w:after="0"/>
        <w:ind w:left="108" w:right="112" w:firstLine="0"/>
        <w:jc w:val="both"/>
        <w:rPr>
          <w:rFonts w:ascii="Arial" w:hAnsi="Arial"/>
          <w:sz w:val="20"/>
        </w:rPr>
      </w:pPr>
      <w:r>
        <w:rPr>
          <w:w w:val="115"/>
          <w:sz w:val="20"/>
        </w:rPr>
        <w:t>terenurile degradate sau poluate, incluse în perimetrul de ameliorare, pentru perioada cât durează ameliorarea</w:t>
      </w:r>
      <w:r>
        <w:rPr>
          <w:spacing w:val="-1"/>
          <w:w w:val="115"/>
          <w:sz w:val="20"/>
        </w:rPr>
        <w:t> </w:t>
      </w:r>
      <w:r>
        <w:rPr>
          <w:w w:val="115"/>
          <w:sz w:val="20"/>
        </w:rPr>
        <w:t>acestora;</w:t>
      </w:r>
    </w:p>
    <w:p>
      <w:pPr>
        <w:pStyle w:val="ListParagraph"/>
        <w:numPr>
          <w:ilvl w:val="0"/>
          <w:numId w:val="16"/>
        </w:numPr>
        <w:tabs>
          <w:tab w:pos="407" w:val="left" w:leader="none"/>
        </w:tabs>
        <w:spacing w:line="271" w:lineRule="auto" w:before="108" w:after="0"/>
        <w:ind w:left="108" w:right="113" w:firstLine="0"/>
        <w:jc w:val="both"/>
        <w:rPr>
          <w:rFonts w:ascii="Arial" w:hAnsi="Arial"/>
          <w:sz w:val="20"/>
        </w:rPr>
      </w:pPr>
      <w:r>
        <w:rPr>
          <w:w w:val="115"/>
          <w:sz w:val="20"/>
        </w:rPr>
        <w:t>terenurile care prin natura lor şi nu prin destinaţia dată sunt improprii pentru agricultură sau silvicultură;</w:t>
      </w:r>
    </w:p>
    <w:p>
      <w:pPr>
        <w:pStyle w:val="ListParagraph"/>
        <w:numPr>
          <w:ilvl w:val="0"/>
          <w:numId w:val="16"/>
        </w:numPr>
        <w:tabs>
          <w:tab w:pos="401" w:val="left" w:leader="none"/>
        </w:tabs>
        <w:spacing w:line="273" w:lineRule="auto" w:before="109" w:after="0"/>
        <w:ind w:left="108" w:right="109" w:firstLine="0"/>
        <w:jc w:val="both"/>
        <w:rPr>
          <w:rFonts w:ascii="Arial" w:hAnsi="Arial"/>
          <w:b/>
          <w:sz w:val="20"/>
        </w:rPr>
      </w:pPr>
      <w:r>
        <w:rPr>
          <w:w w:val="115"/>
          <w:sz w:val="20"/>
        </w:rPr>
        <w:t>terenurile ocupate de autostrăzi, drumuri europene, drumuri naţionale, drumuri principale administrate de Compania Naţională de Autostrăzi şi Drumuri Naţionale din România – S.A., zonele de siguranţă</w:t>
      </w:r>
      <w:r>
        <w:rPr>
          <w:spacing w:val="-25"/>
          <w:w w:val="115"/>
          <w:sz w:val="20"/>
        </w:rPr>
        <w:t> </w:t>
      </w:r>
      <w:r>
        <w:rPr>
          <w:w w:val="115"/>
          <w:sz w:val="20"/>
        </w:rPr>
        <w:t>a</w:t>
      </w:r>
      <w:r>
        <w:rPr>
          <w:spacing w:val="-25"/>
          <w:w w:val="115"/>
          <w:sz w:val="20"/>
        </w:rPr>
        <w:t> </w:t>
      </w:r>
      <w:r>
        <w:rPr>
          <w:w w:val="115"/>
          <w:sz w:val="20"/>
        </w:rPr>
        <w:t>acestora,</w:t>
      </w:r>
      <w:r>
        <w:rPr>
          <w:spacing w:val="-25"/>
          <w:w w:val="115"/>
          <w:sz w:val="20"/>
        </w:rPr>
        <w:t> </w:t>
      </w:r>
      <w:r>
        <w:rPr>
          <w:w w:val="115"/>
          <w:sz w:val="20"/>
        </w:rPr>
        <w:t>precum</w:t>
      </w:r>
      <w:r>
        <w:rPr>
          <w:spacing w:val="-25"/>
          <w:w w:val="115"/>
          <w:sz w:val="20"/>
        </w:rPr>
        <w:t> </w:t>
      </w:r>
      <w:r>
        <w:rPr>
          <w:w w:val="115"/>
          <w:sz w:val="20"/>
        </w:rPr>
        <w:t>şi</w:t>
      </w:r>
      <w:r>
        <w:rPr>
          <w:spacing w:val="-24"/>
          <w:w w:val="115"/>
          <w:sz w:val="20"/>
        </w:rPr>
        <w:t> </w:t>
      </w:r>
      <w:r>
        <w:rPr>
          <w:w w:val="115"/>
          <w:sz w:val="20"/>
        </w:rPr>
        <w:t>terenurile</w:t>
      </w:r>
      <w:r>
        <w:rPr>
          <w:spacing w:val="-24"/>
          <w:w w:val="115"/>
          <w:sz w:val="20"/>
        </w:rPr>
        <w:t> </w:t>
      </w:r>
      <w:r>
        <w:rPr>
          <w:w w:val="115"/>
          <w:sz w:val="20"/>
        </w:rPr>
        <w:t>ocupate</w:t>
      </w:r>
      <w:r>
        <w:rPr>
          <w:spacing w:val="-24"/>
          <w:w w:val="115"/>
          <w:sz w:val="20"/>
        </w:rPr>
        <w:t> </w:t>
      </w:r>
      <w:r>
        <w:rPr>
          <w:w w:val="115"/>
          <w:sz w:val="20"/>
        </w:rPr>
        <w:t>de</w:t>
      </w:r>
      <w:r>
        <w:rPr>
          <w:spacing w:val="-25"/>
          <w:w w:val="115"/>
          <w:sz w:val="20"/>
        </w:rPr>
        <w:t> </w:t>
      </w:r>
      <w:r>
        <w:rPr>
          <w:w w:val="115"/>
          <w:sz w:val="20"/>
        </w:rPr>
        <w:t>piste</w:t>
      </w:r>
      <w:r>
        <w:rPr>
          <w:spacing w:val="-24"/>
          <w:w w:val="115"/>
          <w:sz w:val="20"/>
        </w:rPr>
        <w:t> </w:t>
      </w:r>
      <w:r>
        <w:rPr>
          <w:w w:val="115"/>
          <w:sz w:val="20"/>
        </w:rPr>
        <w:t>şi</w:t>
      </w:r>
      <w:r>
        <w:rPr>
          <w:spacing w:val="-29"/>
          <w:w w:val="115"/>
          <w:sz w:val="20"/>
        </w:rPr>
        <w:t> </w:t>
      </w:r>
      <w:r>
        <w:rPr>
          <w:rFonts w:ascii="Arial" w:hAnsi="Arial"/>
          <w:b/>
          <w:w w:val="115"/>
          <w:sz w:val="20"/>
        </w:rPr>
        <w:t>terenurile</w:t>
      </w:r>
      <w:r>
        <w:rPr>
          <w:rFonts w:ascii="Arial" w:hAnsi="Arial"/>
          <w:b/>
          <w:spacing w:val="-35"/>
          <w:w w:val="115"/>
          <w:sz w:val="20"/>
        </w:rPr>
        <w:t> </w:t>
      </w:r>
      <w:r>
        <w:rPr>
          <w:rFonts w:ascii="Arial" w:hAnsi="Arial"/>
          <w:b/>
          <w:w w:val="115"/>
          <w:sz w:val="20"/>
        </w:rPr>
        <w:t>din</w:t>
      </w:r>
      <w:r>
        <w:rPr>
          <w:rFonts w:ascii="Arial" w:hAnsi="Arial"/>
          <w:b/>
          <w:spacing w:val="-35"/>
          <w:w w:val="115"/>
          <w:sz w:val="20"/>
        </w:rPr>
        <w:t> </w:t>
      </w:r>
      <w:r>
        <w:rPr>
          <w:rFonts w:ascii="Arial" w:hAnsi="Arial"/>
          <w:b/>
          <w:w w:val="115"/>
          <w:sz w:val="20"/>
        </w:rPr>
        <w:t>jurul</w:t>
      </w:r>
      <w:r>
        <w:rPr>
          <w:rFonts w:ascii="Arial" w:hAnsi="Arial"/>
          <w:b/>
          <w:spacing w:val="-35"/>
          <w:w w:val="115"/>
          <w:sz w:val="20"/>
        </w:rPr>
        <w:t> </w:t>
      </w:r>
      <w:r>
        <w:rPr>
          <w:rFonts w:ascii="Arial" w:hAnsi="Arial"/>
          <w:b/>
          <w:w w:val="115"/>
          <w:sz w:val="20"/>
        </w:rPr>
        <w:t>pistelor</w:t>
      </w:r>
      <w:r>
        <w:rPr>
          <w:rFonts w:ascii="Arial" w:hAnsi="Arial"/>
          <w:b/>
          <w:spacing w:val="-35"/>
          <w:w w:val="115"/>
          <w:sz w:val="20"/>
        </w:rPr>
        <w:t> </w:t>
      </w:r>
      <w:r>
        <w:rPr>
          <w:rFonts w:ascii="Arial" w:hAnsi="Arial"/>
          <w:b/>
          <w:w w:val="115"/>
          <w:sz w:val="20"/>
        </w:rPr>
        <w:t>reprezentând zone de</w:t>
      </w:r>
      <w:r>
        <w:rPr>
          <w:rFonts w:ascii="Arial" w:hAnsi="Arial"/>
          <w:b/>
          <w:spacing w:val="-28"/>
          <w:w w:val="115"/>
          <w:sz w:val="20"/>
        </w:rPr>
        <w:t> </w:t>
      </w:r>
      <w:r>
        <w:rPr>
          <w:rFonts w:ascii="Arial" w:hAnsi="Arial"/>
          <w:b/>
          <w:w w:val="115"/>
          <w:sz w:val="20"/>
        </w:rPr>
        <w:t>siguranţă;</w:t>
      </w:r>
    </w:p>
    <w:p>
      <w:pPr>
        <w:pStyle w:val="ListParagraph"/>
        <w:numPr>
          <w:ilvl w:val="0"/>
          <w:numId w:val="16"/>
        </w:numPr>
        <w:tabs>
          <w:tab w:pos="464" w:val="left" w:leader="none"/>
        </w:tabs>
        <w:spacing w:line="271" w:lineRule="auto" w:before="116" w:after="0"/>
        <w:ind w:left="108" w:right="113" w:firstLine="0"/>
        <w:jc w:val="both"/>
        <w:rPr>
          <w:rFonts w:ascii="Arial" w:hAnsi="Arial"/>
          <w:sz w:val="20"/>
        </w:rPr>
      </w:pPr>
      <w:r>
        <w:rPr>
          <w:w w:val="115"/>
          <w:sz w:val="20"/>
        </w:rPr>
        <w:t>terenurile pe care sunt amplasate elementele infrastructurii feroviare publice, precum şi cele ale metroului;</w:t>
      </w:r>
    </w:p>
    <w:p>
      <w:pPr>
        <w:pStyle w:val="ListParagraph"/>
        <w:numPr>
          <w:ilvl w:val="0"/>
          <w:numId w:val="16"/>
        </w:numPr>
        <w:tabs>
          <w:tab w:pos="400" w:val="left" w:leader="none"/>
        </w:tabs>
        <w:spacing w:line="271" w:lineRule="auto" w:before="108" w:after="0"/>
        <w:ind w:left="108" w:right="110" w:firstLine="0"/>
        <w:jc w:val="both"/>
        <w:rPr>
          <w:rFonts w:ascii="Arial" w:hAnsi="Arial"/>
          <w:sz w:val="20"/>
        </w:rPr>
      </w:pPr>
      <w:r>
        <w:rPr>
          <w:w w:val="115"/>
          <w:sz w:val="20"/>
        </w:rPr>
        <w:t>terenurile din parcurile industriale, parcurile ştiinţifice şi tehnologice, precum şi cele utilizate de incubatoarele de afaceri, cu respectarea legislaţiei în materia ajutorului de</w:t>
      </w:r>
      <w:r>
        <w:rPr>
          <w:spacing w:val="-28"/>
          <w:w w:val="115"/>
          <w:sz w:val="20"/>
        </w:rPr>
        <w:t> </w:t>
      </w:r>
      <w:r>
        <w:rPr>
          <w:w w:val="115"/>
          <w:sz w:val="20"/>
        </w:rPr>
        <w:t>stat;</w:t>
      </w:r>
    </w:p>
    <w:p>
      <w:pPr>
        <w:pStyle w:val="ListParagraph"/>
        <w:numPr>
          <w:ilvl w:val="0"/>
          <w:numId w:val="16"/>
        </w:numPr>
        <w:tabs>
          <w:tab w:pos="387" w:val="left" w:leader="none"/>
        </w:tabs>
        <w:spacing w:line="271" w:lineRule="auto" w:before="109" w:after="0"/>
        <w:ind w:left="108" w:right="108" w:firstLine="0"/>
        <w:jc w:val="both"/>
        <w:rPr>
          <w:rFonts w:ascii="Arial" w:hAnsi="Arial"/>
          <w:sz w:val="20"/>
        </w:rPr>
      </w:pPr>
      <w:r>
        <w:rPr>
          <w:w w:val="115"/>
          <w:sz w:val="20"/>
        </w:rPr>
        <w:t>terenurile aferente capacităţilor de producţie care sunt în sectorul pentru apărare cu respectarea legislaţiei în materia ajutorului de</w:t>
      </w:r>
      <w:r>
        <w:rPr>
          <w:spacing w:val="-7"/>
          <w:w w:val="115"/>
          <w:sz w:val="20"/>
        </w:rPr>
        <w:t> </w:t>
      </w:r>
      <w:r>
        <w:rPr>
          <w:w w:val="115"/>
          <w:sz w:val="20"/>
        </w:rPr>
        <w:t>stat;</w:t>
      </w:r>
    </w:p>
    <w:p>
      <w:pPr>
        <w:pStyle w:val="ListParagraph"/>
        <w:numPr>
          <w:ilvl w:val="0"/>
          <w:numId w:val="16"/>
        </w:numPr>
        <w:tabs>
          <w:tab w:pos="369" w:val="left" w:leader="none"/>
        </w:tabs>
        <w:spacing w:line="271" w:lineRule="auto" w:before="108" w:after="0"/>
        <w:ind w:left="108" w:right="117" w:firstLine="0"/>
        <w:jc w:val="both"/>
        <w:rPr>
          <w:rFonts w:ascii="Arial" w:hAnsi="Arial"/>
          <w:sz w:val="20"/>
        </w:rPr>
      </w:pPr>
      <w:r>
        <w:rPr>
          <w:w w:val="115"/>
          <w:sz w:val="20"/>
        </w:rPr>
        <w:t>terenurile Academiei Române şi ale fundaţiilor proprii înfiinţate de Academia Română, în calitate de fondator unic, cu excepţia terenurilor care sunt folosite pentru activităţi</w:t>
      </w:r>
      <w:r>
        <w:rPr>
          <w:spacing w:val="-36"/>
          <w:w w:val="115"/>
          <w:sz w:val="20"/>
        </w:rPr>
        <w:t> </w:t>
      </w:r>
      <w:r>
        <w:rPr>
          <w:w w:val="115"/>
          <w:sz w:val="20"/>
        </w:rPr>
        <w:t>economice;</w:t>
      </w:r>
    </w:p>
    <w:p>
      <w:pPr>
        <w:pStyle w:val="ListParagraph"/>
        <w:numPr>
          <w:ilvl w:val="0"/>
          <w:numId w:val="16"/>
        </w:numPr>
        <w:tabs>
          <w:tab w:pos="409" w:val="left" w:leader="none"/>
        </w:tabs>
        <w:spacing w:line="271" w:lineRule="auto" w:before="108" w:after="0"/>
        <w:ind w:left="108" w:right="108" w:firstLine="0"/>
        <w:jc w:val="both"/>
        <w:rPr>
          <w:rFonts w:ascii="Arial" w:hAnsi="Arial"/>
          <w:sz w:val="20"/>
        </w:rPr>
      </w:pPr>
      <w:r>
        <w:rPr>
          <w:w w:val="115"/>
          <w:sz w:val="20"/>
        </w:rPr>
        <w:t>terenurile instituţiilor sau unităţilor care funcţionează sub coordonarea Ministerului Educaţiei şi Cercetării Ştiinţifice sau a Ministerului Tineretului şi Sportului, cu excepţia terenurilor care sunt folosite pentru activităţi</w:t>
      </w:r>
      <w:r>
        <w:rPr>
          <w:spacing w:val="-3"/>
          <w:w w:val="115"/>
          <w:sz w:val="20"/>
        </w:rPr>
        <w:t> </w:t>
      </w:r>
      <w:r>
        <w:rPr>
          <w:w w:val="115"/>
          <w:sz w:val="20"/>
        </w:rPr>
        <w:t>economice;</w:t>
      </w:r>
    </w:p>
    <w:p>
      <w:pPr>
        <w:pStyle w:val="ListParagraph"/>
        <w:numPr>
          <w:ilvl w:val="0"/>
          <w:numId w:val="16"/>
        </w:numPr>
        <w:tabs>
          <w:tab w:pos="340" w:val="left" w:leader="none"/>
        </w:tabs>
        <w:spacing w:line="271" w:lineRule="auto" w:before="109" w:after="0"/>
        <w:ind w:left="108" w:right="121" w:firstLine="0"/>
        <w:jc w:val="both"/>
        <w:rPr>
          <w:rFonts w:ascii="Arial" w:hAnsi="Arial"/>
          <w:sz w:val="20"/>
        </w:rPr>
      </w:pPr>
      <w:r>
        <w:rPr>
          <w:w w:val="115"/>
          <w:sz w:val="20"/>
        </w:rPr>
        <w:t>terenurile aflate în proprietatea sau coproprietatea veteranilor de război, a văduvelor de război şi a văduvelor nerecăsătorite ale veteranilor de</w:t>
      </w:r>
      <w:r>
        <w:rPr>
          <w:spacing w:val="-8"/>
          <w:w w:val="115"/>
          <w:sz w:val="20"/>
        </w:rPr>
        <w:t> </w:t>
      </w:r>
      <w:r>
        <w:rPr>
          <w:w w:val="115"/>
          <w:sz w:val="20"/>
        </w:rPr>
        <w:t>război;</w:t>
      </w:r>
    </w:p>
    <w:p>
      <w:pPr>
        <w:pStyle w:val="ListParagraph"/>
        <w:numPr>
          <w:ilvl w:val="0"/>
          <w:numId w:val="16"/>
        </w:numPr>
        <w:tabs>
          <w:tab w:pos="339" w:val="left" w:leader="none"/>
        </w:tabs>
        <w:spacing w:line="271" w:lineRule="auto" w:before="109" w:after="0"/>
        <w:ind w:left="108" w:right="110" w:firstLine="67"/>
        <w:jc w:val="both"/>
        <w:rPr>
          <w:rFonts w:ascii="Arial" w:hAnsi="Arial"/>
          <w:sz w:val="18"/>
        </w:rPr>
      </w:pPr>
      <w:r>
        <w:rPr>
          <w:w w:val="115"/>
          <w:sz w:val="20"/>
        </w:rPr>
        <w:t>terenul aferent clădirii de domiciliu, aflat în proprietatea sau coproprietatea persoanelor prevăzute la art. 1 şi 5 din</w:t>
      </w:r>
      <w:r>
        <w:rPr>
          <w:color w:val="3DA7F6"/>
          <w:w w:val="115"/>
          <w:sz w:val="20"/>
        </w:rPr>
        <w:t> </w:t>
      </w:r>
      <w:r>
        <w:rPr>
          <w:color w:val="3DA7F6"/>
          <w:w w:val="115"/>
          <w:sz w:val="20"/>
          <w:u w:val="single" w:color="3DA7F6"/>
        </w:rPr>
        <w:t>Decretul - lege nr. </w:t>
      </w:r>
      <w:r>
        <w:rPr>
          <w:color w:val="3DA7F6"/>
          <w:spacing w:val="-4"/>
          <w:w w:val="115"/>
          <w:sz w:val="20"/>
          <w:u w:val="single" w:color="3DA7F6"/>
        </w:rPr>
        <w:t>118/1990</w:t>
      </w:r>
      <w:r>
        <w:rPr>
          <w:spacing w:val="-4"/>
          <w:w w:val="115"/>
          <w:sz w:val="20"/>
        </w:rPr>
        <w:t>, </w:t>
      </w:r>
      <w:r>
        <w:rPr>
          <w:w w:val="115"/>
          <w:sz w:val="20"/>
        </w:rPr>
        <w:t>republicat, cu modificările şi completările ulterioare, şi a persoanelor fizice prevăzute la art. 1 din</w:t>
      </w:r>
      <w:r>
        <w:rPr>
          <w:color w:val="3DA7F6"/>
          <w:w w:val="115"/>
          <w:sz w:val="20"/>
        </w:rPr>
        <w:t> </w:t>
      </w:r>
      <w:r>
        <w:rPr>
          <w:color w:val="3DA7F6"/>
          <w:w w:val="115"/>
          <w:sz w:val="20"/>
          <w:u w:val="single" w:color="3DA7F6"/>
        </w:rPr>
        <w:t>Ordonanţa Guvernului nr. 105/1999</w:t>
      </w:r>
      <w:r>
        <w:rPr>
          <w:w w:val="115"/>
          <w:sz w:val="20"/>
        </w:rPr>
        <w:t>, aprobată cu modificări şi completări prin</w:t>
      </w:r>
      <w:r>
        <w:rPr>
          <w:color w:val="3DA7F6"/>
          <w:w w:val="115"/>
          <w:sz w:val="20"/>
        </w:rPr>
        <w:t> </w:t>
      </w:r>
      <w:r>
        <w:rPr>
          <w:color w:val="3DA7F6"/>
          <w:w w:val="115"/>
          <w:sz w:val="20"/>
          <w:u w:val="single" w:color="3DA7F6"/>
        </w:rPr>
        <w:t>Legea nr. 189/2000</w:t>
      </w:r>
      <w:r>
        <w:rPr>
          <w:w w:val="115"/>
          <w:sz w:val="20"/>
        </w:rPr>
        <w:t>, cu modificările şi completările</w:t>
      </w:r>
      <w:r>
        <w:rPr>
          <w:spacing w:val="-30"/>
          <w:w w:val="115"/>
          <w:sz w:val="20"/>
        </w:rPr>
        <w:t> </w:t>
      </w:r>
      <w:r>
        <w:rPr>
          <w:w w:val="115"/>
          <w:sz w:val="20"/>
        </w:rPr>
        <w:t>ulterioare</w:t>
      </w:r>
    </w:p>
    <w:p>
      <w:pPr>
        <w:pStyle w:val="ListParagraph"/>
        <w:numPr>
          <w:ilvl w:val="0"/>
          <w:numId w:val="16"/>
        </w:numPr>
        <w:tabs>
          <w:tab w:pos="316" w:val="left" w:leader="none"/>
        </w:tabs>
        <w:spacing w:line="240" w:lineRule="auto" w:before="109" w:after="0"/>
        <w:ind w:left="315" w:right="0" w:hanging="207"/>
        <w:jc w:val="both"/>
        <w:rPr>
          <w:rFonts w:ascii="Arial" w:hAnsi="Arial"/>
          <w:sz w:val="20"/>
        </w:rPr>
      </w:pPr>
      <w:r>
        <w:rPr>
          <w:w w:val="115"/>
          <w:sz w:val="20"/>
        </w:rPr>
        <w:t>terenul</w:t>
      </w:r>
      <w:r>
        <w:rPr>
          <w:spacing w:val="8"/>
          <w:w w:val="115"/>
          <w:sz w:val="20"/>
        </w:rPr>
        <w:t> </w:t>
      </w:r>
      <w:r>
        <w:rPr>
          <w:w w:val="115"/>
          <w:sz w:val="20"/>
        </w:rPr>
        <w:t>aferent</w:t>
      </w:r>
      <w:r>
        <w:rPr>
          <w:spacing w:val="9"/>
          <w:w w:val="115"/>
          <w:sz w:val="20"/>
        </w:rPr>
        <w:t> </w:t>
      </w:r>
      <w:r>
        <w:rPr>
          <w:w w:val="115"/>
          <w:sz w:val="20"/>
        </w:rPr>
        <w:t>clădirii</w:t>
      </w:r>
      <w:r>
        <w:rPr>
          <w:spacing w:val="9"/>
          <w:w w:val="115"/>
          <w:sz w:val="20"/>
        </w:rPr>
        <w:t> </w:t>
      </w:r>
      <w:r>
        <w:rPr>
          <w:w w:val="115"/>
          <w:sz w:val="20"/>
        </w:rPr>
        <w:t>de</w:t>
      </w:r>
      <w:r>
        <w:rPr>
          <w:spacing w:val="10"/>
          <w:w w:val="115"/>
          <w:sz w:val="20"/>
        </w:rPr>
        <w:t> </w:t>
      </w:r>
      <w:r>
        <w:rPr>
          <w:w w:val="115"/>
          <w:sz w:val="20"/>
        </w:rPr>
        <w:t>domiciliu,</w:t>
      </w:r>
      <w:r>
        <w:rPr>
          <w:spacing w:val="9"/>
          <w:w w:val="115"/>
          <w:sz w:val="20"/>
        </w:rPr>
        <w:t> </w:t>
      </w:r>
      <w:r>
        <w:rPr>
          <w:w w:val="115"/>
          <w:sz w:val="20"/>
        </w:rPr>
        <w:t>aflat</w:t>
      </w:r>
      <w:r>
        <w:rPr>
          <w:spacing w:val="9"/>
          <w:w w:val="115"/>
          <w:sz w:val="20"/>
        </w:rPr>
        <w:t> </w:t>
      </w:r>
      <w:r>
        <w:rPr>
          <w:w w:val="115"/>
          <w:sz w:val="20"/>
        </w:rPr>
        <w:t>în</w:t>
      </w:r>
      <w:r>
        <w:rPr>
          <w:spacing w:val="10"/>
          <w:w w:val="115"/>
          <w:sz w:val="20"/>
        </w:rPr>
        <w:t> </w:t>
      </w:r>
      <w:r>
        <w:rPr>
          <w:w w:val="115"/>
          <w:sz w:val="20"/>
        </w:rPr>
        <w:t>proprietatea</w:t>
      </w:r>
      <w:r>
        <w:rPr>
          <w:spacing w:val="9"/>
          <w:w w:val="115"/>
          <w:sz w:val="20"/>
        </w:rPr>
        <w:t> </w:t>
      </w:r>
      <w:r>
        <w:rPr>
          <w:w w:val="115"/>
          <w:sz w:val="20"/>
        </w:rPr>
        <w:t>sau</w:t>
      </w:r>
      <w:r>
        <w:rPr>
          <w:spacing w:val="9"/>
          <w:w w:val="115"/>
          <w:sz w:val="20"/>
        </w:rPr>
        <w:t> </w:t>
      </w:r>
      <w:r>
        <w:rPr>
          <w:w w:val="115"/>
          <w:sz w:val="20"/>
        </w:rPr>
        <w:t>coproprietatea</w:t>
      </w:r>
      <w:r>
        <w:rPr>
          <w:spacing w:val="9"/>
          <w:w w:val="115"/>
          <w:sz w:val="20"/>
        </w:rPr>
        <w:t> </w:t>
      </w:r>
      <w:r>
        <w:rPr>
          <w:w w:val="115"/>
          <w:sz w:val="20"/>
        </w:rPr>
        <w:t>persoanelor</w:t>
      </w:r>
      <w:r>
        <w:rPr>
          <w:spacing w:val="10"/>
          <w:w w:val="115"/>
          <w:sz w:val="20"/>
        </w:rPr>
        <w:t> </w:t>
      </w:r>
      <w:r>
        <w:rPr>
          <w:w w:val="115"/>
          <w:sz w:val="20"/>
        </w:rPr>
        <w:t>cu</w:t>
      </w:r>
      <w:r>
        <w:rPr>
          <w:spacing w:val="9"/>
          <w:w w:val="115"/>
          <w:sz w:val="20"/>
        </w:rPr>
        <w:t> </w:t>
      </w:r>
      <w:r>
        <w:rPr>
          <w:w w:val="115"/>
          <w:sz w:val="20"/>
        </w:rPr>
        <w:t>handicap</w:t>
      </w:r>
    </w:p>
    <w:p>
      <w:pPr>
        <w:spacing w:after="0" w:line="240" w:lineRule="auto"/>
        <w:jc w:val="both"/>
        <w:rPr>
          <w:rFonts w:ascii="Arial" w:hAnsi="Arial"/>
          <w:sz w:val="20"/>
        </w:rPr>
        <w:sectPr>
          <w:footerReference w:type="default" r:id="rId15"/>
          <w:pgSz w:w="11900" w:h="16840"/>
          <w:pgMar w:footer="280" w:header="0" w:top="500" w:bottom="480" w:left="1140" w:right="740"/>
          <w:pgNumType w:start="10"/>
        </w:sectPr>
      </w:pPr>
    </w:p>
    <w:p>
      <w:pPr>
        <w:pStyle w:val="BodyText"/>
        <w:spacing w:line="271" w:lineRule="auto" w:before="100"/>
        <w:ind w:left="107" w:right="108"/>
      </w:pPr>
      <w:r>
        <w:rPr>
          <w:w w:val="115"/>
        </w:rPr>
        <w:t>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pPr>
        <w:pStyle w:val="ListParagraph"/>
        <w:numPr>
          <w:ilvl w:val="0"/>
          <w:numId w:val="16"/>
        </w:numPr>
        <w:tabs>
          <w:tab w:pos="359" w:val="left" w:leader="none"/>
        </w:tabs>
        <w:spacing w:line="271" w:lineRule="auto" w:before="109" w:after="0"/>
        <w:ind w:left="108" w:right="113" w:firstLine="0"/>
        <w:jc w:val="both"/>
        <w:rPr>
          <w:sz w:val="20"/>
        </w:rPr>
      </w:pPr>
      <w:r>
        <w:rPr>
          <w:w w:val="115"/>
          <w:sz w:val="20"/>
        </w:rPr>
        <w:t>terenul aferent clădirii de domiciliu aflat în proprietatea sau coproprietatea persoanelor prevăzute la art. 2 lit. c) - f) şi j) din</w:t>
      </w:r>
      <w:r>
        <w:rPr>
          <w:color w:val="3DA7F6"/>
          <w:w w:val="115"/>
          <w:sz w:val="20"/>
        </w:rPr>
        <w:t> </w:t>
      </w:r>
      <w:r>
        <w:rPr>
          <w:color w:val="3DA7F6"/>
          <w:w w:val="115"/>
          <w:sz w:val="20"/>
          <w:u w:val="single" w:color="3DA7F6"/>
        </w:rPr>
        <w:t>Legea nr.</w:t>
      </w:r>
      <w:r>
        <w:rPr>
          <w:color w:val="3DA7F6"/>
          <w:spacing w:val="-22"/>
          <w:w w:val="115"/>
          <w:sz w:val="20"/>
          <w:u w:val="single" w:color="3DA7F6"/>
        </w:rPr>
        <w:t> </w:t>
      </w:r>
      <w:r>
        <w:rPr>
          <w:color w:val="3DA7F6"/>
          <w:w w:val="115"/>
          <w:sz w:val="20"/>
          <w:u w:val="single" w:color="3DA7F6"/>
        </w:rPr>
        <w:t>168/2020</w:t>
      </w:r>
      <w:r>
        <w:rPr>
          <w:w w:val="115"/>
          <w:sz w:val="20"/>
        </w:rPr>
        <w:t>;</w:t>
      </w:r>
    </w:p>
    <w:p>
      <w:pPr>
        <w:pStyle w:val="ListParagraph"/>
        <w:numPr>
          <w:ilvl w:val="0"/>
          <w:numId w:val="16"/>
        </w:numPr>
        <w:tabs>
          <w:tab w:pos="385" w:val="left" w:leader="none"/>
        </w:tabs>
        <w:spacing w:line="271" w:lineRule="auto" w:before="109" w:after="0"/>
        <w:ind w:left="108" w:right="112" w:firstLine="51"/>
        <w:jc w:val="both"/>
        <w:rPr>
          <w:rFonts w:ascii="Arial" w:hAnsi="Arial"/>
          <w:sz w:val="20"/>
        </w:rPr>
      </w:pPr>
      <w:r>
        <w:rPr>
          <w:w w:val="115"/>
          <w:sz w:val="20"/>
        </w:rPr>
        <w:t>terenurile destinate serviciului de apostilă şi supralegalizare, cele destinate depozitării şi administrării arhivei, precum şi terenurile afectate funcţionării Centrului Naţional de Administrare a Registrelor Naţionale</w:t>
      </w:r>
      <w:r>
        <w:rPr>
          <w:spacing w:val="-2"/>
          <w:w w:val="115"/>
          <w:sz w:val="20"/>
        </w:rPr>
        <w:t> </w:t>
      </w:r>
      <w:r>
        <w:rPr>
          <w:w w:val="115"/>
          <w:sz w:val="20"/>
        </w:rPr>
        <w:t>Notariale;</w:t>
      </w:r>
    </w:p>
    <w:p>
      <w:pPr>
        <w:pStyle w:val="ListParagraph"/>
        <w:numPr>
          <w:ilvl w:val="0"/>
          <w:numId w:val="16"/>
        </w:numPr>
        <w:tabs>
          <w:tab w:pos="408" w:val="left" w:leader="none"/>
        </w:tabs>
        <w:spacing w:line="271" w:lineRule="auto" w:before="109" w:after="0"/>
        <w:ind w:left="108" w:right="107" w:firstLine="0"/>
        <w:jc w:val="both"/>
        <w:rPr>
          <w:rFonts w:ascii="Arial" w:hAnsi="Arial"/>
          <w:sz w:val="20"/>
        </w:rPr>
      </w:pPr>
      <w:r>
        <w:rPr>
          <w:w w:val="115"/>
          <w:sz w:val="20"/>
        </w:rPr>
        <w:t>suprafeţele de fond forestier, altele decât cele proprietate publică, pentru care nu se reglementează procesul de producţie lemnoasă, cele certificate, precum şi cele cu arborete cu vârsta de până la 20 de ani;</w:t>
      </w:r>
    </w:p>
    <w:p>
      <w:pPr>
        <w:pStyle w:val="ListParagraph"/>
        <w:numPr>
          <w:ilvl w:val="0"/>
          <w:numId w:val="16"/>
        </w:numPr>
        <w:tabs>
          <w:tab w:pos="329" w:val="left" w:leader="none"/>
        </w:tabs>
        <w:spacing w:line="240" w:lineRule="auto" w:before="109" w:after="0"/>
        <w:ind w:left="328" w:right="0" w:hanging="220"/>
        <w:jc w:val="both"/>
        <w:rPr>
          <w:rFonts w:ascii="Arial" w:hAnsi="Arial"/>
          <w:sz w:val="20"/>
        </w:rPr>
      </w:pPr>
      <w:r>
        <w:rPr>
          <w:w w:val="115"/>
          <w:sz w:val="20"/>
        </w:rPr>
        <w:t>terenurile deţinute sau utilizate de către întreprinderile sociale de</w:t>
      </w:r>
      <w:r>
        <w:rPr>
          <w:spacing w:val="-23"/>
          <w:w w:val="115"/>
          <w:sz w:val="20"/>
        </w:rPr>
        <w:t> </w:t>
      </w:r>
      <w:r>
        <w:rPr>
          <w:w w:val="115"/>
          <w:sz w:val="20"/>
        </w:rPr>
        <w:t>inserţie;</w:t>
      </w:r>
    </w:p>
    <w:p>
      <w:pPr>
        <w:pStyle w:val="ListParagraph"/>
        <w:numPr>
          <w:ilvl w:val="0"/>
          <w:numId w:val="16"/>
        </w:numPr>
        <w:tabs>
          <w:tab w:pos="406" w:val="left" w:leader="none"/>
        </w:tabs>
        <w:spacing w:line="271" w:lineRule="auto" w:before="139" w:after="0"/>
        <w:ind w:left="108" w:right="106" w:firstLine="0"/>
        <w:jc w:val="both"/>
        <w:rPr>
          <w:rFonts w:ascii="Arial" w:hAnsi="Arial"/>
          <w:sz w:val="20"/>
        </w:rPr>
      </w:pPr>
      <w:r>
        <w:rPr>
          <w:w w:val="115"/>
          <w:sz w:val="20"/>
        </w:rPr>
        <w:t>terenurile aflate în proprietatea organizaţiilor cetăţenilor aparţinând minorităţilor naţionale din România,</w:t>
      </w:r>
      <w:r>
        <w:rPr>
          <w:spacing w:val="-8"/>
          <w:w w:val="115"/>
          <w:sz w:val="20"/>
        </w:rPr>
        <w:t> </w:t>
      </w:r>
      <w:r>
        <w:rPr>
          <w:w w:val="115"/>
          <w:sz w:val="20"/>
        </w:rPr>
        <w:t>cu</w:t>
      </w:r>
      <w:r>
        <w:rPr>
          <w:spacing w:val="-8"/>
          <w:w w:val="115"/>
          <w:sz w:val="20"/>
        </w:rPr>
        <w:t> </w:t>
      </w:r>
      <w:r>
        <w:rPr>
          <w:w w:val="115"/>
          <w:sz w:val="20"/>
        </w:rPr>
        <w:t>statut</w:t>
      </w:r>
      <w:r>
        <w:rPr>
          <w:spacing w:val="-8"/>
          <w:w w:val="115"/>
          <w:sz w:val="20"/>
        </w:rPr>
        <w:t> </w:t>
      </w:r>
      <w:r>
        <w:rPr>
          <w:w w:val="115"/>
          <w:sz w:val="20"/>
        </w:rPr>
        <w:t>de</w:t>
      </w:r>
      <w:r>
        <w:rPr>
          <w:spacing w:val="-8"/>
          <w:w w:val="115"/>
          <w:sz w:val="20"/>
        </w:rPr>
        <w:t> </w:t>
      </w:r>
      <w:r>
        <w:rPr>
          <w:w w:val="115"/>
          <w:sz w:val="20"/>
        </w:rPr>
        <w:t>utilitate</w:t>
      </w:r>
      <w:r>
        <w:rPr>
          <w:spacing w:val="-8"/>
          <w:w w:val="115"/>
          <w:sz w:val="20"/>
        </w:rPr>
        <w:t> </w:t>
      </w:r>
      <w:r>
        <w:rPr>
          <w:w w:val="115"/>
          <w:sz w:val="20"/>
        </w:rPr>
        <w:t>publică,</w:t>
      </w:r>
      <w:r>
        <w:rPr>
          <w:spacing w:val="-7"/>
          <w:w w:val="115"/>
          <w:sz w:val="20"/>
        </w:rPr>
        <w:t> </w:t>
      </w:r>
      <w:r>
        <w:rPr>
          <w:w w:val="115"/>
          <w:sz w:val="20"/>
        </w:rPr>
        <w:t>precum</w:t>
      </w:r>
      <w:r>
        <w:rPr>
          <w:spacing w:val="-8"/>
          <w:w w:val="115"/>
          <w:sz w:val="20"/>
        </w:rPr>
        <w:t> </w:t>
      </w:r>
      <w:r>
        <w:rPr>
          <w:w w:val="115"/>
          <w:sz w:val="20"/>
        </w:rPr>
        <w:t>şi</w:t>
      </w:r>
      <w:r>
        <w:rPr>
          <w:spacing w:val="-8"/>
          <w:w w:val="115"/>
          <w:sz w:val="20"/>
        </w:rPr>
        <w:t> </w:t>
      </w:r>
      <w:r>
        <w:rPr>
          <w:w w:val="115"/>
          <w:sz w:val="20"/>
        </w:rPr>
        <w:t>cele</w:t>
      </w:r>
      <w:r>
        <w:rPr>
          <w:spacing w:val="-8"/>
          <w:w w:val="115"/>
          <w:sz w:val="20"/>
        </w:rPr>
        <w:t> </w:t>
      </w:r>
      <w:r>
        <w:rPr>
          <w:w w:val="115"/>
          <w:sz w:val="20"/>
        </w:rPr>
        <w:t>închiriate,</w:t>
      </w:r>
      <w:r>
        <w:rPr>
          <w:spacing w:val="-8"/>
          <w:w w:val="115"/>
          <w:sz w:val="20"/>
        </w:rPr>
        <w:t> </w:t>
      </w:r>
      <w:r>
        <w:rPr>
          <w:w w:val="115"/>
          <w:sz w:val="20"/>
        </w:rPr>
        <w:t>concesionate</w:t>
      </w:r>
      <w:r>
        <w:rPr>
          <w:spacing w:val="-7"/>
          <w:w w:val="115"/>
          <w:sz w:val="20"/>
        </w:rPr>
        <w:t> </w:t>
      </w:r>
      <w:r>
        <w:rPr>
          <w:w w:val="115"/>
          <w:sz w:val="20"/>
        </w:rPr>
        <w:t>sau</w:t>
      </w:r>
      <w:r>
        <w:rPr>
          <w:spacing w:val="-8"/>
          <w:w w:val="115"/>
          <w:sz w:val="20"/>
        </w:rPr>
        <w:t> </w:t>
      </w:r>
      <w:r>
        <w:rPr>
          <w:w w:val="115"/>
          <w:sz w:val="20"/>
        </w:rPr>
        <w:t>primite</w:t>
      </w:r>
      <w:r>
        <w:rPr>
          <w:spacing w:val="-8"/>
          <w:w w:val="115"/>
          <w:sz w:val="20"/>
        </w:rPr>
        <w:t> </w:t>
      </w:r>
      <w:r>
        <w:rPr>
          <w:w w:val="115"/>
          <w:sz w:val="20"/>
        </w:rPr>
        <w:t>în</w:t>
      </w:r>
      <w:r>
        <w:rPr>
          <w:spacing w:val="-8"/>
          <w:w w:val="115"/>
          <w:sz w:val="20"/>
        </w:rPr>
        <w:t> </w:t>
      </w:r>
      <w:r>
        <w:rPr>
          <w:w w:val="115"/>
          <w:sz w:val="20"/>
        </w:rPr>
        <w:t>administrare ori în folosinţă de acestea de la o instituţie sau o autoritate publică, cu excepţia terenurilor care sunt folosite pentru activităţi</w:t>
      </w:r>
      <w:r>
        <w:rPr>
          <w:spacing w:val="-5"/>
          <w:w w:val="115"/>
          <w:sz w:val="20"/>
        </w:rPr>
        <w:t> </w:t>
      </w:r>
      <w:r>
        <w:rPr>
          <w:w w:val="115"/>
          <w:sz w:val="20"/>
        </w:rPr>
        <w:t>economice.</w:t>
      </w:r>
    </w:p>
    <w:p>
      <w:pPr>
        <w:pStyle w:val="ListParagraph"/>
        <w:numPr>
          <w:ilvl w:val="0"/>
          <w:numId w:val="16"/>
        </w:numPr>
        <w:tabs>
          <w:tab w:pos="325" w:val="left" w:leader="none"/>
        </w:tabs>
        <w:spacing w:line="271" w:lineRule="auto" w:before="110" w:after="0"/>
        <w:ind w:left="108" w:right="107" w:firstLine="0"/>
        <w:jc w:val="both"/>
        <w:rPr>
          <w:sz w:val="20"/>
        </w:rPr>
      </w:pPr>
      <w:r>
        <w:rPr>
          <w:w w:val="115"/>
          <w:sz w:val="20"/>
        </w:rPr>
        <w:t>suprafeţele construite ale terenurilor aferente clădirilor clasate ca monumente istorice, de arhitectură sau</w:t>
      </w:r>
      <w:r>
        <w:rPr>
          <w:spacing w:val="-7"/>
          <w:w w:val="115"/>
          <w:sz w:val="20"/>
        </w:rPr>
        <w:t> </w:t>
      </w:r>
      <w:r>
        <w:rPr>
          <w:w w:val="115"/>
          <w:sz w:val="20"/>
        </w:rPr>
        <w:t>arheologice,</w:t>
      </w:r>
      <w:r>
        <w:rPr>
          <w:spacing w:val="-7"/>
          <w:w w:val="115"/>
          <w:sz w:val="20"/>
        </w:rPr>
        <w:t> </w:t>
      </w:r>
      <w:r>
        <w:rPr>
          <w:w w:val="115"/>
          <w:sz w:val="20"/>
        </w:rPr>
        <w:t>prevăzute</w:t>
      </w:r>
      <w:r>
        <w:rPr>
          <w:spacing w:val="-7"/>
          <w:w w:val="115"/>
          <w:sz w:val="20"/>
        </w:rPr>
        <w:t> </w:t>
      </w:r>
      <w:r>
        <w:rPr>
          <w:w w:val="115"/>
          <w:sz w:val="20"/>
        </w:rPr>
        <w:t>la</w:t>
      </w:r>
      <w:r>
        <w:rPr>
          <w:spacing w:val="-6"/>
          <w:w w:val="115"/>
          <w:sz w:val="20"/>
        </w:rPr>
        <w:t> </w:t>
      </w:r>
      <w:r>
        <w:rPr>
          <w:w w:val="115"/>
          <w:sz w:val="20"/>
        </w:rPr>
        <w:t>art.</w:t>
      </w:r>
      <w:r>
        <w:rPr>
          <w:spacing w:val="-6"/>
          <w:w w:val="115"/>
          <w:sz w:val="20"/>
        </w:rPr>
        <w:t> </w:t>
      </w:r>
      <w:r>
        <w:rPr>
          <w:w w:val="115"/>
          <w:sz w:val="20"/>
        </w:rPr>
        <w:t>456</w:t>
      </w:r>
      <w:r>
        <w:rPr>
          <w:spacing w:val="-6"/>
          <w:w w:val="115"/>
          <w:sz w:val="20"/>
        </w:rPr>
        <w:t> </w:t>
      </w:r>
      <w:r>
        <w:rPr>
          <w:w w:val="115"/>
          <w:sz w:val="20"/>
        </w:rPr>
        <w:t>alin.</w:t>
      </w:r>
      <w:r>
        <w:rPr>
          <w:spacing w:val="-6"/>
          <w:w w:val="115"/>
          <w:sz w:val="20"/>
        </w:rPr>
        <w:t> </w:t>
      </w:r>
      <w:r>
        <w:rPr>
          <w:w w:val="115"/>
          <w:sz w:val="20"/>
        </w:rPr>
        <w:t>(1)</w:t>
      </w:r>
      <w:r>
        <w:rPr>
          <w:spacing w:val="-6"/>
          <w:w w:val="115"/>
          <w:sz w:val="20"/>
        </w:rPr>
        <w:t> </w:t>
      </w:r>
      <w:r>
        <w:rPr>
          <w:w w:val="115"/>
          <w:sz w:val="20"/>
        </w:rPr>
        <w:t>lit.</w:t>
      </w:r>
      <w:r>
        <w:rPr>
          <w:spacing w:val="-6"/>
          <w:w w:val="115"/>
          <w:sz w:val="20"/>
        </w:rPr>
        <w:t> </w:t>
      </w:r>
      <w:r>
        <w:rPr>
          <w:w w:val="115"/>
          <w:sz w:val="20"/>
        </w:rPr>
        <w:t>x),</w:t>
      </w:r>
      <w:r>
        <w:rPr>
          <w:spacing w:val="-6"/>
          <w:w w:val="115"/>
          <w:sz w:val="20"/>
        </w:rPr>
        <w:t> </w:t>
      </w:r>
      <w:r>
        <w:rPr>
          <w:w w:val="115"/>
          <w:sz w:val="20"/>
        </w:rPr>
        <w:t>indiferent</w:t>
      </w:r>
      <w:r>
        <w:rPr>
          <w:spacing w:val="-6"/>
          <w:w w:val="115"/>
          <w:sz w:val="20"/>
        </w:rPr>
        <w:t> </w:t>
      </w:r>
      <w:r>
        <w:rPr>
          <w:w w:val="115"/>
          <w:sz w:val="20"/>
        </w:rPr>
        <w:t>de</w:t>
      </w:r>
      <w:r>
        <w:rPr>
          <w:spacing w:val="-7"/>
          <w:w w:val="115"/>
          <w:sz w:val="20"/>
        </w:rPr>
        <w:t> </w:t>
      </w:r>
      <w:r>
        <w:rPr>
          <w:w w:val="115"/>
          <w:sz w:val="20"/>
        </w:rPr>
        <w:t>titularul</w:t>
      </w:r>
      <w:r>
        <w:rPr>
          <w:spacing w:val="-6"/>
          <w:w w:val="115"/>
          <w:sz w:val="20"/>
        </w:rPr>
        <w:t> </w:t>
      </w:r>
      <w:r>
        <w:rPr>
          <w:w w:val="115"/>
          <w:sz w:val="20"/>
        </w:rPr>
        <w:t>dreptului</w:t>
      </w:r>
      <w:r>
        <w:rPr>
          <w:spacing w:val="-6"/>
          <w:w w:val="115"/>
          <w:sz w:val="20"/>
        </w:rPr>
        <w:t> </w:t>
      </w:r>
      <w:r>
        <w:rPr>
          <w:w w:val="115"/>
          <w:sz w:val="20"/>
        </w:rPr>
        <w:t>de</w:t>
      </w:r>
      <w:r>
        <w:rPr>
          <w:spacing w:val="-6"/>
          <w:w w:val="115"/>
          <w:sz w:val="20"/>
        </w:rPr>
        <w:t> </w:t>
      </w:r>
      <w:r>
        <w:rPr>
          <w:w w:val="115"/>
          <w:sz w:val="20"/>
        </w:rPr>
        <w:t>proprietate</w:t>
      </w:r>
      <w:r>
        <w:rPr>
          <w:spacing w:val="-6"/>
          <w:w w:val="115"/>
          <w:sz w:val="20"/>
        </w:rPr>
        <w:t> </w:t>
      </w:r>
      <w:r>
        <w:rPr>
          <w:w w:val="115"/>
          <w:sz w:val="20"/>
        </w:rPr>
        <w:t>sau</w:t>
      </w:r>
      <w:r>
        <w:rPr>
          <w:spacing w:val="-6"/>
          <w:w w:val="115"/>
          <w:sz w:val="20"/>
        </w:rPr>
        <w:t> </w:t>
      </w:r>
      <w:r>
        <w:rPr>
          <w:w w:val="115"/>
          <w:sz w:val="20"/>
        </w:rPr>
        <w:t>de administrare, cu excepţia terenurilor care sunt folosite pentru activităţi</w:t>
      </w:r>
      <w:r>
        <w:rPr>
          <w:spacing w:val="-30"/>
          <w:w w:val="115"/>
          <w:sz w:val="20"/>
        </w:rPr>
        <w:t> </w:t>
      </w:r>
      <w:r>
        <w:rPr>
          <w:w w:val="115"/>
          <w:sz w:val="20"/>
        </w:rPr>
        <w:t>economice.</w:t>
      </w:r>
    </w:p>
    <w:p>
      <w:pPr>
        <w:pStyle w:val="ListParagraph"/>
        <w:numPr>
          <w:ilvl w:val="2"/>
          <w:numId w:val="14"/>
        </w:numPr>
        <w:tabs>
          <w:tab w:pos="327" w:val="left" w:leader="none"/>
        </w:tabs>
        <w:spacing w:line="240" w:lineRule="auto" w:before="109" w:after="0"/>
        <w:ind w:left="326" w:right="0" w:hanging="218"/>
        <w:jc w:val="both"/>
        <w:rPr>
          <w:sz w:val="20"/>
        </w:rPr>
      </w:pPr>
      <w:r>
        <w:rPr>
          <w:w w:val="115"/>
          <w:sz w:val="20"/>
        </w:rPr>
        <w:t>Consiliul local acordă scutirea impozitului/taxei pe teren datorate</w:t>
      </w:r>
      <w:r>
        <w:rPr>
          <w:spacing w:val="-23"/>
          <w:w w:val="115"/>
          <w:sz w:val="20"/>
        </w:rPr>
        <w:t> </w:t>
      </w:r>
      <w:r>
        <w:rPr>
          <w:w w:val="115"/>
          <w:sz w:val="20"/>
        </w:rPr>
        <w:t>pentru:</w:t>
      </w:r>
    </w:p>
    <w:p>
      <w:pPr>
        <w:pStyle w:val="ListParagraph"/>
        <w:numPr>
          <w:ilvl w:val="0"/>
          <w:numId w:val="17"/>
        </w:numPr>
        <w:tabs>
          <w:tab w:pos="356" w:val="left" w:leader="none"/>
        </w:tabs>
        <w:spacing w:line="271" w:lineRule="auto" w:before="139" w:after="0"/>
        <w:ind w:left="108" w:right="111" w:firstLine="0"/>
        <w:jc w:val="both"/>
        <w:rPr>
          <w:sz w:val="20"/>
        </w:rPr>
      </w:pPr>
      <w:r>
        <w:rPr>
          <w:w w:val="115"/>
          <w:sz w:val="20"/>
        </w:rPr>
        <w:t>terenul aferent clădirilor restituite potrivit art. 16 </w:t>
      </w:r>
      <w:r>
        <w:rPr>
          <w:spacing w:val="-12"/>
          <w:w w:val="115"/>
          <w:sz w:val="20"/>
        </w:rPr>
        <w:t>din</w:t>
      </w:r>
      <w:hyperlink r:id="rId9">
        <w:r>
          <w:rPr>
            <w:color w:val="3DA7F6"/>
            <w:spacing w:val="-12"/>
            <w:w w:val="115"/>
            <w:sz w:val="20"/>
            <w:u w:val="single" w:color="3DA7F6"/>
          </w:rPr>
          <w:t> </w:t>
        </w:r>
        <w:r>
          <w:rPr>
            <w:color w:val="3DA7F6"/>
            <w:w w:val="115"/>
            <w:sz w:val="20"/>
            <w:u w:val="single" w:color="3DA7F6"/>
          </w:rPr>
          <w:t>Legea nr. 10/2001</w:t>
        </w:r>
      </w:hyperlink>
      <w:r>
        <w:rPr>
          <w:color w:val="3DA7F6"/>
          <w:w w:val="115"/>
          <w:sz w:val="20"/>
          <w:u w:val="single" w:color="3DA7F6"/>
        </w:rPr>
        <w:t>,</w:t>
      </w:r>
      <w:r>
        <w:rPr>
          <w:color w:val="3DA7F6"/>
          <w:w w:val="115"/>
          <w:sz w:val="20"/>
        </w:rPr>
        <w:t> </w:t>
      </w:r>
      <w:r>
        <w:rPr>
          <w:w w:val="115"/>
          <w:sz w:val="20"/>
        </w:rPr>
        <w:t>republicată, cu modificările şi completările</w:t>
      </w:r>
      <w:r>
        <w:rPr>
          <w:spacing w:val="-7"/>
          <w:w w:val="115"/>
          <w:sz w:val="20"/>
        </w:rPr>
        <w:t> </w:t>
      </w:r>
      <w:r>
        <w:rPr>
          <w:w w:val="115"/>
          <w:sz w:val="20"/>
        </w:rPr>
        <w:t>ulterioare,</w:t>
      </w:r>
      <w:r>
        <w:rPr>
          <w:spacing w:val="-6"/>
          <w:w w:val="115"/>
          <w:sz w:val="20"/>
        </w:rPr>
        <w:t> </w:t>
      </w:r>
      <w:r>
        <w:rPr>
          <w:w w:val="115"/>
          <w:sz w:val="20"/>
        </w:rPr>
        <w:t>pe</w:t>
      </w:r>
      <w:r>
        <w:rPr>
          <w:spacing w:val="-6"/>
          <w:w w:val="115"/>
          <w:sz w:val="20"/>
        </w:rPr>
        <w:t> </w:t>
      </w:r>
      <w:r>
        <w:rPr>
          <w:w w:val="115"/>
          <w:sz w:val="20"/>
        </w:rPr>
        <w:t>durata</w:t>
      </w:r>
      <w:r>
        <w:rPr>
          <w:spacing w:val="-6"/>
          <w:w w:val="115"/>
          <w:sz w:val="20"/>
        </w:rPr>
        <w:t> </w:t>
      </w:r>
      <w:r>
        <w:rPr>
          <w:w w:val="115"/>
          <w:sz w:val="20"/>
        </w:rPr>
        <w:t>pentru</w:t>
      </w:r>
      <w:r>
        <w:rPr>
          <w:spacing w:val="-6"/>
          <w:w w:val="115"/>
          <w:sz w:val="20"/>
        </w:rPr>
        <w:t> </w:t>
      </w:r>
      <w:r>
        <w:rPr>
          <w:w w:val="115"/>
          <w:sz w:val="20"/>
        </w:rPr>
        <w:t>care</w:t>
      </w:r>
      <w:r>
        <w:rPr>
          <w:spacing w:val="-6"/>
          <w:w w:val="115"/>
          <w:sz w:val="20"/>
        </w:rPr>
        <w:t> </w:t>
      </w:r>
      <w:r>
        <w:rPr>
          <w:w w:val="115"/>
          <w:sz w:val="20"/>
        </w:rPr>
        <w:t>proprietarul</w:t>
      </w:r>
      <w:r>
        <w:rPr>
          <w:spacing w:val="-7"/>
          <w:w w:val="115"/>
          <w:sz w:val="20"/>
        </w:rPr>
        <w:t> </w:t>
      </w:r>
      <w:r>
        <w:rPr>
          <w:w w:val="115"/>
          <w:sz w:val="20"/>
        </w:rPr>
        <w:t>menţine</w:t>
      </w:r>
      <w:r>
        <w:rPr>
          <w:spacing w:val="-6"/>
          <w:w w:val="115"/>
          <w:sz w:val="20"/>
        </w:rPr>
        <w:t> </w:t>
      </w:r>
      <w:r>
        <w:rPr>
          <w:w w:val="115"/>
          <w:sz w:val="20"/>
        </w:rPr>
        <w:t>afectaţiunea</w:t>
      </w:r>
      <w:r>
        <w:rPr>
          <w:spacing w:val="-6"/>
          <w:w w:val="115"/>
          <w:sz w:val="20"/>
        </w:rPr>
        <w:t> </w:t>
      </w:r>
      <w:r>
        <w:rPr>
          <w:w w:val="115"/>
          <w:sz w:val="20"/>
        </w:rPr>
        <w:t>de</w:t>
      </w:r>
      <w:r>
        <w:rPr>
          <w:spacing w:val="-6"/>
          <w:w w:val="115"/>
          <w:sz w:val="20"/>
        </w:rPr>
        <w:t> </w:t>
      </w:r>
      <w:r>
        <w:rPr>
          <w:w w:val="115"/>
          <w:sz w:val="20"/>
        </w:rPr>
        <w:t>interes</w:t>
      </w:r>
      <w:r>
        <w:rPr>
          <w:spacing w:val="-6"/>
          <w:w w:val="115"/>
          <w:sz w:val="20"/>
        </w:rPr>
        <w:t> </w:t>
      </w:r>
      <w:r>
        <w:rPr>
          <w:w w:val="115"/>
          <w:sz w:val="20"/>
        </w:rPr>
        <w:t>public;</w:t>
      </w:r>
    </w:p>
    <w:p>
      <w:pPr>
        <w:pStyle w:val="ListParagraph"/>
        <w:numPr>
          <w:ilvl w:val="0"/>
          <w:numId w:val="17"/>
        </w:numPr>
        <w:tabs>
          <w:tab w:pos="346" w:val="left" w:leader="none"/>
        </w:tabs>
        <w:spacing w:line="271" w:lineRule="auto" w:before="109" w:after="0"/>
        <w:ind w:left="108" w:right="116" w:firstLine="0"/>
        <w:jc w:val="both"/>
        <w:rPr>
          <w:sz w:val="20"/>
        </w:rPr>
      </w:pPr>
      <w:r>
        <w:rPr>
          <w:w w:val="115"/>
          <w:sz w:val="20"/>
        </w:rPr>
        <w:t>terenul</w:t>
      </w:r>
      <w:r>
        <w:rPr>
          <w:spacing w:val="-9"/>
          <w:w w:val="115"/>
          <w:sz w:val="20"/>
        </w:rPr>
        <w:t> </w:t>
      </w:r>
      <w:r>
        <w:rPr>
          <w:w w:val="115"/>
          <w:sz w:val="20"/>
        </w:rPr>
        <w:t>aferent</w:t>
      </w:r>
      <w:r>
        <w:rPr>
          <w:spacing w:val="-9"/>
          <w:w w:val="115"/>
          <w:sz w:val="20"/>
        </w:rPr>
        <w:t> </w:t>
      </w:r>
      <w:r>
        <w:rPr>
          <w:w w:val="115"/>
          <w:sz w:val="20"/>
        </w:rPr>
        <w:t>clădirilor</w:t>
      </w:r>
      <w:r>
        <w:rPr>
          <w:spacing w:val="-9"/>
          <w:w w:val="115"/>
          <w:sz w:val="20"/>
        </w:rPr>
        <w:t> </w:t>
      </w:r>
      <w:r>
        <w:rPr>
          <w:w w:val="115"/>
          <w:sz w:val="20"/>
        </w:rPr>
        <w:t>retrocedate</w:t>
      </w:r>
      <w:r>
        <w:rPr>
          <w:spacing w:val="-9"/>
          <w:w w:val="115"/>
          <w:sz w:val="20"/>
        </w:rPr>
        <w:t> </w:t>
      </w:r>
      <w:r>
        <w:rPr>
          <w:w w:val="115"/>
          <w:sz w:val="20"/>
        </w:rPr>
        <w:t>potrivit</w:t>
      </w:r>
      <w:r>
        <w:rPr>
          <w:spacing w:val="-9"/>
          <w:w w:val="115"/>
          <w:sz w:val="20"/>
        </w:rPr>
        <w:t> </w:t>
      </w:r>
      <w:r>
        <w:rPr>
          <w:w w:val="115"/>
          <w:sz w:val="20"/>
        </w:rPr>
        <w:t>art.</w:t>
      </w:r>
      <w:r>
        <w:rPr>
          <w:spacing w:val="-9"/>
          <w:w w:val="115"/>
          <w:sz w:val="20"/>
        </w:rPr>
        <w:t> </w:t>
      </w:r>
      <w:r>
        <w:rPr>
          <w:w w:val="115"/>
          <w:sz w:val="20"/>
        </w:rPr>
        <w:t>1</w:t>
      </w:r>
      <w:r>
        <w:rPr>
          <w:spacing w:val="-9"/>
          <w:w w:val="115"/>
          <w:sz w:val="20"/>
        </w:rPr>
        <w:t> </w:t>
      </w:r>
      <w:r>
        <w:rPr>
          <w:w w:val="115"/>
          <w:sz w:val="20"/>
        </w:rPr>
        <w:t>alin.</w:t>
      </w:r>
      <w:r>
        <w:rPr>
          <w:spacing w:val="-9"/>
          <w:w w:val="115"/>
          <w:sz w:val="20"/>
        </w:rPr>
        <w:t> </w:t>
      </w:r>
      <w:r>
        <w:rPr>
          <w:w w:val="115"/>
          <w:sz w:val="20"/>
        </w:rPr>
        <w:t>(10)</w:t>
      </w:r>
      <w:r>
        <w:rPr>
          <w:spacing w:val="-9"/>
          <w:w w:val="115"/>
          <w:sz w:val="20"/>
        </w:rPr>
        <w:t> </w:t>
      </w:r>
      <w:r>
        <w:rPr>
          <w:w w:val="115"/>
          <w:sz w:val="20"/>
        </w:rPr>
        <w:t>din</w:t>
      </w:r>
      <w:r>
        <w:rPr>
          <w:spacing w:val="-9"/>
          <w:w w:val="115"/>
          <w:sz w:val="20"/>
        </w:rPr>
        <w:t> </w:t>
      </w:r>
      <w:r>
        <w:rPr>
          <w:w w:val="115"/>
          <w:sz w:val="20"/>
        </w:rPr>
        <w:t>Ordonanţa</w:t>
      </w:r>
      <w:r>
        <w:rPr>
          <w:spacing w:val="-9"/>
          <w:w w:val="115"/>
          <w:sz w:val="20"/>
        </w:rPr>
        <w:t> </w:t>
      </w:r>
      <w:r>
        <w:rPr>
          <w:w w:val="115"/>
          <w:sz w:val="20"/>
        </w:rPr>
        <w:t>de</w:t>
      </w:r>
      <w:r>
        <w:rPr>
          <w:spacing w:val="-9"/>
          <w:w w:val="115"/>
          <w:sz w:val="20"/>
        </w:rPr>
        <w:t> </w:t>
      </w:r>
      <w:r>
        <w:rPr>
          <w:w w:val="115"/>
          <w:sz w:val="20"/>
        </w:rPr>
        <w:t>urgenţă</w:t>
      </w:r>
      <w:r>
        <w:rPr>
          <w:spacing w:val="-9"/>
          <w:w w:val="115"/>
          <w:sz w:val="20"/>
        </w:rPr>
        <w:t> </w:t>
      </w:r>
      <w:r>
        <w:rPr>
          <w:w w:val="115"/>
          <w:sz w:val="20"/>
        </w:rPr>
        <w:t>a</w:t>
      </w:r>
      <w:r>
        <w:rPr>
          <w:spacing w:val="-9"/>
          <w:w w:val="115"/>
          <w:sz w:val="20"/>
        </w:rPr>
        <w:t> </w:t>
      </w:r>
      <w:r>
        <w:rPr>
          <w:w w:val="115"/>
          <w:sz w:val="20"/>
        </w:rPr>
        <w:t>Guvernului</w:t>
      </w:r>
      <w:r>
        <w:rPr>
          <w:spacing w:val="-9"/>
          <w:w w:val="115"/>
          <w:sz w:val="20"/>
        </w:rPr>
        <w:t> </w:t>
      </w:r>
      <w:r>
        <w:rPr>
          <w:w w:val="115"/>
          <w:sz w:val="20"/>
        </w:rPr>
        <w:t>nr. 94/2000, republicată, cu modificările şi completările ulterioare, pe durata pentru care proprietarul menţine afectaţiunea de interes</w:t>
      </w:r>
      <w:r>
        <w:rPr>
          <w:spacing w:val="-6"/>
          <w:w w:val="115"/>
          <w:sz w:val="20"/>
        </w:rPr>
        <w:t> </w:t>
      </w:r>
      <w:r>
        <w:rPr>
          <w:w w:val="115"/>
          <w:sz w:val="20"/>
        </w:rPr>
        <w:t>public;</w:t>
      </w:r>
    </w:p>
    <w:p>
      <w:pPr>
        <w:pStyle w:val="ListParagraph"/>
        <w:numPr>
          <w:ilvl w:val="0"/>
          <w:numId w:val="17"/>
        </w:numPr>
        <w:tabs>
          <w:tab w:pos="355" w:val="left" w:leader="none"/>
        </w:tabs>
        <w:spacing w:line="271" w:lineRule="auto" w:before="109" w:after="0"/>
        <w:ind w:left="108" w:right="116" w:firstLine="0"/>
        <w:jc w:val="both"/>
        <w:rPr>
          <w:sz w:val="20"/>
        </w:rPr>
      </w:pPr>
      <w:r>
        <w:rPr>
          <w:w w:val="115"/>
          <w:sz w:val="20"/>
        </w:rPr>
        <w:t>terenul aferent clădirilor restituite potrivit art. 1 alin. (5) din Ordonanţa de urgenţă a Guvernului nr. 83/1999,</w:t>
      </w:r>
      <w:r>
        <w:rPr>
          <w:spacing w:val="-6"/>
          <w:w w:val="115"/>
          <w:sz w:val="20"/>
        </w:rPr>
        <w:t> </w:t>
      </w:r>
      <w:r>
        <w:rPr>
          <w:w w:val="115"/>
          <w:sz w:val="20"/>
        </w:rPr>
        <w:t>republicată,</w:t>
      </w:r>
      <w:r>
        <w:rPr>
          <w:spacing w:val="-6"/>
          <w:w w:val="115"/>
          <w:sz w:val="20"/>
        </w:rPr>
        <w:t> </w:t>
      </w:r>
      <w:r>
        <w:rPr>
          <w:w w:val="115"/>
          <w:sz w:val="20"/>
        </w:rPr>
        <w:t>pe</w:t>
      </w:r>
      <w:r>
        <w:rPr>
          <w:spacing w:val="-6"/>
          <w:w w:val="115"/>
          <w:sz w:val="20"/>
        </w:rPr>
        <w:t> </w:t>
      </w:r>
      <w:r>
        <w:rPr>
          <w:w w:val="115"/>
          <w:sz w:val="20"/>
        </w:rPr>
        <w:t>durata</w:t>
      </w:r>
      <w:r>
        <w:rPr>
          <w:spacing w:val="-6"/>
          <w:w w:val="115"/>
          <w:sz w:val="20"/>
        </w:rPr>
        <w:t> </w:t>
      </w:r>
      <w:r>
        <w:rPr>
          <w:w w:val="115"/>
          <w:sz w:val="20"/>
        </w:rPr>
        <w:t>pentru</w:t>
      </w:r>
      <w:r>
        <w:rPr>
          <w:spacing w:val="-6"/>
          <w:w w:val="115"/>
          <w:sz w:val="20"/>
        </w:rPr>
        <w:t> </w:t>
      </w:r>
      <w:r>
        <w:rPr>
          <w:w w:val="115"/>
          <w:sz w:val="20"/>
        </w:rPr>
        <w:t>care</w:t>
      </w:r>
      <w:r>
        <w:rPr>
          <w:spacing w:val="-6"/>
          <w:w w:val="115"/>
          <w:sz w:val="20"/>
        </w:rPr>
        <w:t> </w:t>
      </w:r>
      <w:r>
        <w:rPr>
          <w:w w:val="115"/>
          <w:sz w:val="20"/>
        </w:rPr>
        <w:t>proprietarul</w:t>
      </w:r>
      <w:r>
        <w:rPr>
          <w:spacing w:val="-6"/>
          <w:w w:val="115"/>
          <w:sz w:val="20"/>
        </w:rPr>
        <w:t> </w:t>
      </w:r>
      <w:r>
        <w:rPr>
          <w:w w:val="115"/>
          <w:sz w:val="20"/>
        </w:rPr>
        <w:t>menţine</w:t>
      </w:r>
      <w:r>
        <w:rPr>
          <w:spacing w:val="-6"/>
          <w:w w:val="115"/>
          <w:sz w:val="20"/>
        </w:rPr>
        <w:t> </w:t>
      </w:r>
      <w:r>
        <w:rPr>
          <w:w w:val="115"/>
          <w:sz w:val="20"/>
        </w:rPr>
        <w:t>afectaţiunea</w:t>
      </w:r>
      <w:r>
        <w:rPr>
          <w:spacing w:val="-6"/>
          <w:w w:val="115"/>
          <w:sz w:val="20"/>
        </w:rPr>
        <w:t> </w:t>
      </w:r>
      <w:r>
        <w:rPr>
          <w:w w:val="115"/>
          <w:sz w:val="20"/>
        </w:rPr>
        <w:t>de</w:t>
      </w:r>
      <w:r>
        <w:rPr>
          <w:spacing w:val="-6"/>
          <w:w w:val="115"/>
          <w:sz w:val="20"/>
        </w:rPr>
        <w:t> </w:t>
      </w:r>
      <w:r>
        <w:rPr>
          <w:w w:val="115"/>
          <w:sz w:val="20"/>
        </w:rPr>
        <w:t>interes</w:t>
      </w:r>
      <w:r>
        <w:rPr>
          <w:spacing w:val="-6"/>
          <w:w w:val="115"/>
          <w:sz w:val="20"/>
        </w:rPr>
        <w:t> </w:t>
      </w:r>
      <w:r>
        <w:rPr>
          <w:w w:val="115"/>
          <w:sz w:val="20"/>
        </w:rPr>
        <w:t>public;</w:t>
      </w:r>
    </w:p>
    <w:p>
      <w:pPr>
        <w:pStyle w:val="ListParagraph"/>
        <w:numPr>
          <w:ilvl w:val="0"/>
          <w:numId w:val="17"/>
        </w:numPr>
        <w:tabs>
          <w:tab w:pos="401" w:val="left" w:leader="none"/>
        </w:tabs>
        <w:spacing w:line="271" w:lineRule="auto" w:before="108" w:after="0"/>
        <w:ind w:left="108" w:right="119" w:firstLine="0"/>
        <w:jc w:val="both"/>
        <w:rPr>
          <w:sz w:val="20"/>
        </w:rPr>
      </w:pPr>
      <w:r>
        <w:rPr>
          <w:w w:val="115"/>
          <w:sz w:val="20"/>
        </w:rPr>
        <w:t>terenurile utilizate pentru furnizarea de servicii sociale de către organizaţii neguvernamentale şi întreprinderi sociale ca furnizori de servicii</w:t>
      </w:r>
      <w:r>
        <w:rPr>
          <w:spacing w:val="-9"/>
          <w:w w:val="115"/>
          <w:sz w:val="20"/>
        </w:rPr>
        <w:t> </w:t>
      </w:r>
      <w:r>
        <w:rPr>
          <w:w w:val="115"/>
          <w:sz w:val="20"/>
        </w:rPr>
        <w:t>sociale;</w:t>
      </w:r>
    </w:p>
    <w:p>
      <w:pPr>
        <w:pStyle w:val="ListParagraph"/>
        <w:numPr>
          <w:ilvl w:val="0"/>
          <w:numId w:val="17"/>
        </w:numPr>
        <w:tabs>
          <w:tab w:pos="345" w:val="left" w:leader="none"/>
        </w:tabs>
        <w:spacing w:line="240" w:lineRule="auto" w:before="109" w:after="0"/>
        <w:ind w:left="344" w:right="0" w:hanging="236"/>
        <w:jc w:val="both"/>
        <w:rPr>
          <w:sz w:val="20"/>
        </w:rPr>
      </w:pPr>
      <w:r>
        <w:rPr>
          <w:w w:val="115"/>
          <w:sz w:val="20"/>
        </w:rPr>
        <w:t>terenurile</w:t>
      </w:r>
      <w:r>
        <w:rPr>
          <w:spacing w:val="-7"/>
          <w:w w:val="115"/>
          <w:sz w:val="20"/>
        </w:rPr>
        <w:t> </w:t>
      </w:r>
      <w:r>
        <w:rPr>
          <w:w w:val="115"/>
          <w:sz w:val="20"/>
        </w:rPr>
        <w:t>utilizate</w:t>
      </w:r>
      <w:r>
        <w:rPr>
          <w:spacing w:val="-7"/>
          <w:w w:val="115"/>
          <w:sz w:val="20"/>
        </w:rPr>
        <w:t> </w:t>
      </w:r>
      <w:r>
        <w:rPr>
          <w:w w:val="115"/>
          <w:sz w:val="20"/>
        </w:rPr>
        <w:t>de</w:t>
      </w:r>
      <w:r>
        <w:rPr>
          <w:spacing w:val="-6"/>
          <w:w w:val="115"/>
          <w:sz w:val="20"/>
        </w:rPr>
        <w:t> </w:t>
      </w:r>
      <w:r>
        <w:rPr>
          <w:w w:val="115"/>
          <w:sz w:val="20"/>
        </w:rPr>
        <w:t>organizaţii</w:t>
      </w:r>
      <w:r>
        <w:rPr>
          <w:spacing w:val="-7"/>
          <w:w w:val="115"/>
          <w:sz w:val="20"/>
        </w:rPr>
        <w:t> </w:t>
      </w:r>
      <w:r>
        <w:rPr>
          <w:w w:val="115"/>
          <w:sz w:val="20"/>
        </w:rPr>
        <w:t>nonprofit</w:t>
      </w:r>
      <w:r>
        <w:rPr>
          <w:spacing w:val="-6"/>
          <w:w w:val="115"/>
          <w:sz w:val="20"/>
        </w:rPr>
        <w:t> </w:t>
      </w:r>
      <w:r>
        <w:rPr>
          <w:w w:val="115"/>
          <w:sz w:val="20"/>
        </w:rPr>
        <w:t>folosite</w:t>
      </w:r>
      <w:r>
        <w:rPr>
          <w:spacing w:val="-7"/>
          <w:w w:val="115"/>
          <w:sz w:val="20"/>
        </w:rPr>
        <w:t> </w:t>
      </w:r>
      <w:r>
        <w:rPr>
          <w:w w:val="115"/>
          <w:sz w:val="20"/>
        </w:rPr>
        <w:t>exclusiv</w:t>
      </w:r>
      <w:r>
        <w:rPr>
          <w:spacing w:val="-6"/>
          <w:w w:val="115"/>
          <w:sz w:val="20"/>
        </w:rPr>
        <w:t> </w:t>
      </w:r>
      <w:r>
        <w:rPr>
          <w:w w:val="115"/>
          <w:sz w:val="20"/>
        </w:rPr>
        <w:t>pentru</w:t>
      </w:r>
      <w:r>
        <w:rPr>
          <w:spacing w:val="-7"/>
          <w:w w:val="115"/>
          <w:sz w:val="20"/>
        </w:rPr>
        <w:t> </w:t>
      </w:r>
      <w:r>
        <w:rPr>
          <w:w w:val="115"/>
          <w:sz w:val="20"/>
        </w:rPr>
        <w:t>activităţile</w:t>
      </w:r>
      <w:r>
        <w:rPr>
          <w:spacing w:val="-6"/>
          <w:w w:val="115"/>
          <w:sz w:val="20"/>
        </w:rPr>
        <w:t> </w:t>
      </w:r>
      <w:r>
        <w:rPr>
          <w:w w:val="115"/>
          <w:sz w:val="20"/>
        </w:rPr>
        <w:t>fără</w:t>
      </w:r>
      <w:r>
        <w:rPr>
          <w:spacing w:val="-7"/>
          <w:w w:val="115"/>
          <w:sz w:val="20"/>
        </w:rPr>
        <w:t> </w:t>
      </w:r>
      <w:r>
        <w:rPr>
          <w:w w:val="115"/>
          <w:sz w:val="20"/>
        </w:rPr>
        <w:t>scop</w:t>
      </w:r>
      <w:r>
        <w:rPr>
          <w:spacing w:val="-6"/>
          <w:w w:val="115"/>
          <w:sz w:val="20"/>
        </w:rPr>
        <w:t> </w:t>
      </w:r>
      <w:r>
        <w:rPr>
          <w:w w:val="115"/>
          <w:sz w:val="20"/>
        </w:rPr>
        <w:t>lucrativ;</w:t>
      </w:r>
    </w:p>
    <w:p>
      <w:pPr>
        <w:pStyle w:val="ListParagraph"/>
        <w:numPr>
          <w:ilvl w:val="0"/>
          <w:numId w:val="17"/>
        </w:numPr>
        <w:tabs>
          <w:tab w:pos="298" w:val="left" w:leader="none"/>
        </w:tabs>
        <w:spacing w:line="240" w:lineRule="auto" w:before="139" w:after="0"/>
        <w:ind w:left="298" w:right="0" w:hanging="190"/>
        <w:jc w:val="both"/>
        <w:rPr>
          <w:sz w:val="20"/>
        </w:rPr>
      </w:pPr>
      <w:r>
        <w:rPr>
          <w:w w:val="115"/>
          <w:sz w:val="20"/>
        </w:rPr>
        <w:t>terenurile</w:t>
      </w:r>
      <w:r>
        <w:rPr>
          <w:spacing w:val="-8"/>
          <w:w w:val="115"/>
          <w:sz w:val="20"/>
        </w:rPr>
        <w:t> </w:t>
      </w:r>
      <w:r>
        <w:rPr>
          <w:w w:val="115"/>
          <w:sz w:val="20"/>
        </w:rPr>
        <w:t>aparţinând</w:t>
      </w:r>
      <w:r>
        <w:rPr>
          <w:spacing w:val="-7"/>
          <w:w w:val="115"/>
          <w:sz w:val="20"/>
        </w:rPr>
        <w:t> </w:t>
      </w:r>
      <w:r>
        <w:rPr>
          <w:w w:val="115"/>
          <w:sz w:val="20"/>
        </w:rPr>
        <w:t>asociaţiilor</w:t>
      </w:r>
      <w:r>
        <w:rPr>
          <w:spacing w:val="-8"/>
          <w:w w:val="115"/>
          <w:sz w:val="20"/>
        </w:rPr>
        <w:t> </w:t>
      </w:r>
      <w:r>
        <w:rPr>
          <w:w w:val="115"/>
          <w:sz w:val="20"/>
        </w:rPr>
        <w:t>şi</w:t>
      </w:r>
      <w:r>
        <w:rPr>
          <w:spacing w:val="-7"/>
          <w:w w:val="115"/>
          <w:sz w:val="20"/>
        </w:rPr>
        <w:t> </w:t>
      </w:r>
      <w:r>
        <w:rPr>
          <w:w w:val="115"/>
          <w:sz w:val="20"/>
        </w:rPr>
        <w:t>fundaţiilor</w:t>
      </w:r>
      <w:r>
        <w:rPr>
          <w:spacing w:val="-8"/>
          <w:w w:val="115"/>
          <w:sz w:val="20"/>
        </w:rPr>
        <w:t> </w:t>
      </w:r>
      <w:r>
        <w:rPr>
          <w:w w:val="115"/>
          <w:sz w:val="20"/>
        </w:rPr>
        <w:t>folosite</w:t>
      </w:r>
      <w:r>
        <w:rPr>
          <w:spacing w:val="-7"/>
          <w:w w:val="115"/>
          <w:sz w:val="20"/>
        </w:rPr>
        <w:t> </w:t>
      </w:r>
      <w:r>
        <w:rPr>
          <w:w w:val="115"/>
          <w:sz w:val="20"/>
        </w:rPr>
        <w:t>exclusiv</w:t>
      </w:r>
      <w:r>
        <w:rPr>
          <w:spacing w:val="-8"/>
          <w:w w:val="115"/>
          <w:sz w:val="20"/>
        </w:rPr>
        <w:t> </w:t>
      </w:r>
      <w:r>
        <w:rPr>
          <w:w w:val="115"/>
          <w:sz w:val="20"/>
        </w:rPr>
        <w:t>pentru</w:t>
      </w:r>
      <w:r>
        <w:rPr>
          <w:spacing w:val="-7"/>
          <w:w w:val="115"/>
          <w:sz w:val="20"/>
        </w:rPr>
        <w:t> </w:t>
      </w:r>
      <w:r>
        <w:rPr>
          <w:w w:val="115"/>
          <w:sz w:val="20"/>
        </w:rPr>
        <w:t>activităţile</w:t>
      </w:r>
      <w:r>
        <w:rPr>
          <w:spacing w:val="-8"/>
          <w:w w:val="115"/>
          <w:sz w:val="20"/>
        </w:rPr>
        <w:t> </w:t>
      </w:r>
      <w:r>
        <w:rPr>
          <w:w w:val="115"/>
          <w:sz w:val="20"/>
        </w:rPr>
        <w:t>fără</w:t>
      </w:r>
      <w:r>
        <w:rPr>
          <w:spacing w:val="-7"/>
          <w:w w:val="115"/>
          <w:sz w:val="20"/>
        </w:rPr>
        <w:t> </w:t>
      </w:r>
      <w:r>
        <w:rPr>
          <w:w w:val="115"/>
          <w:sz w:val="20"/>
        </w:rPr>
        <w:t>scop</w:t>
      </w:r>
      <w:r>
        <w:rPr>
          <w:spacing w:val="-8"/>
          <w:w w:val="115"/>
          <w:sz w:val="20"/>
        </w:rPr>
        <w:t> </w:t>
      </w:r>
      <w:r>
        <w:rPr>
          <w:w w:val="115"/>
          <w:sz w:val="20"/>
        </w:rPr>
        <w:t>lucrativ;</w:t>
      </w:r>
    </w:p>
    <w:p>
      <w:pPr>
        <w:pStyle w:val="ListParagraph"/>
        <w:numPr>
          <w:ilvl w:val="0"/>
          <w:numId w:val="17"/>
        </w:numPr>
        <w:tabs>
          <w:tab w:pos="340" w:val="left" w:leader="none"/>
        </w:tabs>
        <w:spacing w:line="271" w:lineRule="auto" w:before="140" w:after="0"/>
        <w:ind w:left="108" w:right="117" w:firstLine="0"/>
        <w:jc w:val="both"/>
        <w:rPr>
          <w:sz w:val="20"/>
        </w:rPr>
      </w:pPr>
      <w:r>
        <w:rPr>
          <w:w w:val="115"/>
          <w:sz w:val="20"/>
        </w:rPr>
        <w:t>terenurile afectate de calamităţi naturale, pentru o perioadă de 5 ani începând cu 1 ianuarie a anului în care s-a produs</w:t>
      </w:r>
      <w:r>
        <w:rPr>
          <w:spacing w:val="48"/>
          <w:w w:val="115"/>
          <w:sz w:val="20"/>
        </w:rPr>
        <w:t> </w:t>
      </w:r>
      <w:r>
        <w:rPr>
          <w:w w:val="115"/>
          <w:sz w:val="20"/>
        </w:rPr>
        <w:t>;</w:t>
      </w:r>
    </w:p>
    <w:p>
      <w:pPr>
        <w:pStyle w:val="ListParagraph"/>
        <w:numPr>
          <w:ilvl w:val="0"/>
          <w:numId w:val="17"/>
        </w:numPr>
        <w:tabs>
          <w:tab w:pos="369" w:val="left" w:leader="none"/>
        </w:tabs>
        <w:spacing w:line="271" w:lineRule="auto" w:before="109" w:after="0"/>
        <w:ind w:left="108" w:right="112" w:firstLine="0"/>
        <w:jc w:val="both"/>
        <w:rPr>
          <w:sz w:val="20"/>
        </w:rPr>
      </w:pPr>
      <w:r>
        <w:rPr>
          <w:w w:val="115"/>
          <w:sz w:val="20"/>
        </w:rPr>
        <w:t>terenurile aferente clădirii de domiciliu şi/sau alte terenuri aflate în proprietatea sau coproprietatea persoanelor prevăzute la art. 3 alin. (1) lit. b) şi art. 4 alin. (1) din</w:t>
      </w:r>
      <w:hyperlink r:id="rId12">
        <w:r>
          <w:rPr>
            <w:color w:val="3DA7F6"/>
            <w:w w:val="115"/>
            <w:sz w:val="20"/>
            <w:u w:val="single" w:color="3DA7F6"/>
          </w:rPr>
          <w:t> Legea nr. 341/2004</w:t>
        </w:r>
      </w:hyperlink>
      <w:r>
        <w:rPr>
          <w:color w:val="3DA7F6"/>
          <w:w w:val="115"/>
          <w:sz w:val="20"/>
          <w:u w:val="single" w:color="3DA7F6"/>
        </w:rPr>
        <w:t>,</w:t>
      </w:r>
      <w:r>
        <w:rPr>
          <w:color w:val="3DA7F6"/>
          <w:w w:val="115"/>
          <w:sz w:val="20"/>
        </w:rPr>
        <w:t> </w:t>
      </w:r>
      <w:r>
        <w:rPr>
          <w:w w:val="115"/>
          <w:sz w:val="20"/>
        </w:rPr>
        <w:t>cu modificările şi completările</w:t>
      </w:r>
      <w:r>
        <w:rPr>
          <w:spacing w:val="-2"/>
          <w:w w:val="115"/>
          <w:sz w:val="20"/>
        </w:rPr>
        <w:t> </w:t>
      </w:r>
      <w:r>
        <w:rPr>
          <w:w w:val="115"/>
          <w:sz w:val="20"/>
        </w:rPr>
        <w:t>ulterioare;</w:t>
      </w:r>
    </w:p>
    <w:p>
      <w:pPr>
        <w:pStyle w:val="ListParagraph"/>
        <w:numPr>
          <w:ilvl w:val="0"/>
          <w:numId w:val="17"/>
        </w:numPr>
        <w:tabs>
          <w:tab w:pos="288" w:val="left" w:leader="none"/>
        </w:tabs>
        <w:spacing w:line="271" w:lineRule="auto" w:before="109" w:after="0"/>
        <w:ind w:left="108" w:right="107" w:firstLine="0"/>
        <w:jc w:val="both"/>
        <w:rPr>
          <w:sz w:val="20"/>
        </w:rPr>
      </w:pPr>
      <w:r>
        <w:rPr>
          <w:w w:val="115"/>
          <w:sz w:val="20"/>
        </w:rPr>
        <w:t>terenurile,</w:t>
      </w:r>
      <w:r>
        <w:rPr>
          <w:spacing w:val="-8"/>
          <w:w w:val="115"/>
          <w:sz w:val="20"/>
        </w:rPr>
        <w:t> </w:t>
      </w:r>
      <w:r>
        <w:rPr>
          <w:w w:val="115"/>
          <w:sz w:val="20"/>
        </w:rPr>
        <w:t>inclusiv</w:t>
      </w:r>
      <w:r>
        <w:rPr>
          <w:spacing w:val="-8"/>
          <w:w w:val="115"/>
          <w:sz w:val="20"/>
        </w:rPr>
        <w:t> </w:t>
      </w:r>
      <w:r>
        <w:rPr>
          <w:w w:val="115"/>
          <w:sz w:val="20"/>
        </w:rPr>
        <w:t>zonele</w:t>
      </w:r>
      <w:r>
        <w:rPr>
          <w:spacing w:val="-7"/>
          <w:w w:val="115"/>
          <w:sz w:val="20"/>
        </w:rPr>
        <w:t> </w:t>
      </w:r>
      <w:r>
        <w:rPr>
          <w:w w:val="115"/>
          <w:sz w:val="20"/>
        </w:rPr>
        <w:t>de</w:t>
      </w:r>
      <w:r>
        <w:rPr>
          <w:spacing w:val="-7"/>
          <w:w w:val="115"/>
          <w:sz w:val="20"/>
        </w:rPr>
        <w:t> </w:t>
      </w:r>
      <w:r>
        <w:rPr>
          <w:w w:val="115"/>
          <w:sz w:val="20"/>
        </w:rPr>
        <w:t>protecţie</w:t>
      </w:r>
      <w:r>
        <w:rPr>
          <w:spacing w:val="-7"/>
          <w:w w:val="115"/>
          <w:sz w:val="20"/>
        </w:rPr>
        <w:t> </w:t>
      </w:r>
      <w:r>
        <w:rPr>
          <w:w w:val="115"/>
          <w:sz w:val="20"/>
        </w:rPr>
        <w:t>instituite,</w:t>
      </w:r>
      <w:r>
        <w:rPr>
          <w:spacing w:val="-7"/>
          <w:w w:val="115"/>
          <w:sz w:val="20"/>
        </w:rPr>
        <w:t> </w:t>
      </w:r>
      <w:r>
        <w:rPr>
          <w:w w:val="115"/>
          <w:sz w:val="20"/>
        </w:rPr>
        <w:t>ocupate</w:t>
      </w:r>
      <w:r>
        <w:rPr>
          <w:spacing w:val="-7"/>
          <w:w w:val="115"/>
          <w:sz w:val="20"/>
        </w:rPr>
        <w:t> </w:t>
      </w:r>
      <w:r>
        <w:rPr>
          <w:w w:val="115"/>
          <w:sz w:val="20"/>
        </w:rPr>
        <w:t>de</w:t>
      </w:r>
      <w:r>
        <w:rPr>
          <w:spacing w:val="-7"/>
          <w:w w:val="115"/>
          <w:sz w:val="20"/>
        </w:rPr>
        <w:t> </w:t>
      </w:r>
      <w:r>
        <w:rPr>
          <w:w w:val="115"/>
          <w:sz w:val="20"/>
        </w:rPr>
        <w:t>clădirile</w:t>
      </w:r>
      <w:r>
        <w:rPr>
          <w:spacing w:val="-6"/>
          <w:w w:val="115"/>
          <w:sz w:val="20"/>
        </w:rPr>
        <w:t> </w:t>
      </w:r>
      <w:r>
        <w:rPr>
          <w:w w:val="115"/>
          <w:sz w:val="20"/>
        </w:rPr>
        <w:t>clasate</w:t>
      </w:r>
      <w:r>
        <w:rPr>
          <w:spacing w:val="-7"/>
          <w:w w:val="115"/>
          <w:sz w:val="20"/>
        </w:rPr>
        <w:t> </w:t>
      </w:r>
      <w:r>
        <w:rPr>
          <w:w w:val="115"/>
          <w:sz w:val="20"/>
        </w:rPr>
        <w:t>ca</w:t>
      </w:r>
      <w:r>
        <w:rPr>
          <w:spacing w:val="-7"/>
          <w:w w:val="115"/>
          <w:sz w:val="20"/>
        </w:rPr>
        <w:t> </w:t>
      </w:r>
      <w:r>
        <w:rPr>
          <w:w w:val="115"/>
          <w:sz w:val="20"/>
        </w:rPr>
        <w:t>monumente</w:t>
      </w:r>
      <w:r>
        <w:rPr>
          <w:spacing w:val="-7"/>
          <w:w w:val="115"/>
          <w:sz w:val="20"/>
        </w:rPr>
        <w:t> </w:t>
      </w:r>
      <w:r>
        <w:rPr>
          <w:w w:val="115"/>
          <w:sz w:val="20"/>
        </w:rPr>
        <w:t>istorice,</w:t>
      </w:r>
      <w:r>
        <w:rPr>
          <w:spacing w:val="-7"/>
          <w:w w:val="115"/>
          <w:sz w:val="20"/>
        </w:rPr>
        <w:t> </w:t>
      </w:r>
      <w:r>
        <w:rPr>
          <w:w w:val="115"/>
          <w:sz w:val="20"/>
        </w:rPr>
        <w:t>de arhitectură sau arheologice, muzee ori case memoriale, altele decât cele prevăzute la art. 456 alin. (1) lit. x), cu excepţia terenurilor care sunt folosite pentru activităţi</w:t>
      </w:r>
      <w:r>
        <w:rPr>
          <w:spacing w:val="-25"/>
          <w:w w:val="115"/>
          <w:sz w:val="20"/>
        </w:rPr>
        <w:t> </w:t>
      </w:r>
      <w:r>
        <w:rPr>
          <w:w w:val="115"/>
          <w:sz w:val="20"/>
        </w:rPr>
        <w:t>economice;</w:t>
      </w:r>
    </w:p>
    <w:p>
      <w:pPr>
        <w:pStyle w:val="ListParagraph"/>
        <w:numPr>
          <w:ilvl w:val="0"/>
          <w:numId w:val="14"/>
        </w:numPr>
        <w:tabs>
          <w:tab w:pos="423" w:val="left" w:leader="none"/>
        </w:tabs>
        <w:spacing w:line="271" w:lineRule="auto" w:before="109" w:after="0"/>
        <w:ind w:left="108" w:right="108" w:firstLine="0"/>
        <w:jc w:val="both"/>
        <w:rPr>
          <w:rFonts w:ascii="Arial" w:hAnsi="Arial"/>
          <w:sz w:val="20"/>
        </w:rPr>
      </w:pPr>
      <w:r>
        <w:rPr>
          <w:w w:val="110"/>
          <w:sz w:val="20"/>
        </w:rPr>
        <w:t>Scutirea sau reducerea de la plata impozitului/taxei, stabilită conform alin. (2), se aplică începând cu    data</w:t>
      </w:r>
      <w:r>
        <w:rPr>
          <w:spacing w:val="7"/>
          <w:w w:val="110"/>
          <w:sz w:val="20"/>
        </w:rPr>
        <w:t> </w:t>
      </w:r>
      <w:r>
        <w:rPr>
          <w:w w:val="110"/>
          <w:sz w:val="20"/>
        </w:rPr>
        <w:t>de</w:t>
      </w:r>
      <w:r>
        <w:rPr>
          <w:spacing w:val="8"/>
          <w:w w:val="110"/>
          <w:sz w:val="20"/>
        </w:rPr>
        <w:t> </w:t>
      </w:r>
      <w:r>
        <w:rPr>
          <w:w w:val="110"/>
          <w:sz w:val="20"/>
        </w:rPr>
        <w:t>1</w:t>
      </w:r>
      <w:r>
        <w:rPr>
          <w:spacing w:val="8"/>
          <w:w w:val="110"/>
          <w:sz w:val="20"/>
        </w:rPr>
        <w:t> </w:t>
      </w:r>
      <w:r>
        <w:rPr>
          <w:w w:val="110"/>
          <w:sz w:val="20"/>
        </w:rPr>
        <w:t>ianuarie</w:t>
      </w:r>
      <w:r>
        <w:rPr>
          <w:spacing w:val="8"/>
          <w:w w:val="110"/>
          <w:sz w:val="20"/>
        </w:rPr>
        <w:t> </w:t>
      </w:r>
      <w:r>
        <w:rPr>
          <w:w w:val="110"/>
          <w:sz w:val="20"/>
        </w:rPr>
        <w:t>a</w:t>
      </w:r>
      <w:r>
        <w:rPr>
          <w:spacing w:val="8"/>
          <w:w w:val="110"/>
          <w:sz w:val="20"/>
        </w:rPr>
        <w:t> </w:t>
      </w:r>
      <w:r>
        <w:rPr>
          <w:w w:val="110"/>
          <w:sz w:val="20"/>
        </w:rPr>
        <w:t>anului</w:t>
      </w:r>
      <w:r>
        <w:rPr>
          <w:spacing w:val="8"/>
          <w:w w:val="110"/>
          <w:sz w:val="20"/>
        </w:rPr>
        <w:t> </w:t>
      </w:r>
      <w:r>
        <w:rPr>
          <w:w w:val="110"/>
          <w:sz w:val="20"/>
        </w:rPr>
        <w:t>următor</w:t>
      </w:r>
      <w:r>
        <w:rPr>
          <w:spacing w:val="8"/>
          <w:w w:val="110"/>
          <w:sz w:val="20"/>
        </w:rPr>
        <w:t> </w:t>
      </w:r>
      <w:r>
        <w:rPr>
          <w:w w:val="110"/>
          <w:sz w:val="20"/>
        </w:rPr>
        <w:t>celui</w:t>
      </w:r>
      <w:r>
        <w:rPr>
          <w:spacing w:val="8"/>
          <w:w w:val="110"/>
          <w:sz w:val="20"/>
        </w:rPr>
        <w:t> </w:t>
      </w:r>
      <w:r>
        <w:rPr>
          <w:w w:val="110"/>
          <w:sz w:val="20"/>
        </w:rPr>
        <w:t>în</w:t>
      </w:r>
      <w:r>
        <w:rPr>
          <w:spacing w:val="8"/>
          <w:w w:val="110"/>
          <w:sz w:val="20"/>
        </w:rPr>
        <w:t> </w:t>
      </w:r>
      <w:r>
        <w:rPr>
          <w:w w:val="110"/>
          <w:sz w:val="20"/>
        </w:rPr>
        <w:t>care</w:t>
      </w:r>
      <w:r>
        <w:rPr>
          <w:spacing w:val="8"/>
          <w:w w:val="110"/>
          <w:sz w:val="20"/>
        </w:rPr>
        <w:t> </w:t>
      </w:r>
      <w:r>
        <w:rPr>
          <w:w w:val="110"/>
          <w:sz w:val="20"/>
        </w:rPr>
        <w:t>persoana</w:t>
      </w:r>
      <w:r>
        <w:rPr>
          <w:spacing w:val="8"/>
          <w:w w:val="110"/>
          <w:sz w:val="20"/>
        </w:rPr>
        <w:t> </w:t>
      </w:r>
      <w:r>
        <w:rPr>
          <w:w w:val="110"/>
          <w:sz w:val="20"/>
        </w:rPr>
        <w:t>depune</w:t>
      </w:r>
      <w:r>
        <w:rPr>
          <w:spacing w:val="8"/>
          <w:w w:val="110"/>
          <w:sz w:val="20"/>
        </w:rPr>
        <w:t> </w:t>
      </w:r>
      <w:r>
        <w:rPr>
          <w:w w:val="110"/>
          <w:sz w:val="20"/>
        </w:rPr>
        <w:t>documentele</w:t>
      </w:r>
      <w:r>
        <w:rPr>
          <w:spacing w:val="8"/>
          <w:w w:val="110"/>
          <w:sz w:val="20"/>
        </w:rPr>
        <w:t> </w:t>
      </w:r>
      <w:r>
        <w:rPr>
          <w:w w:val="110"/>
          <w:sz w:val="20"/>
        </w:rPr>
        <w:t>justificative.</w:t>
      </w:r>
    </w:p>
    <w:p>
      <w:pPr>
        <w:pStyle w:val="ListParagraph"/>
        <w:numPr>
          <w:ilvl w:val="0"/>
          <w:numId w:val="18"/>
        </w:numPr>
        <w:tabs>
          <w:tab w:pos="373" w:val="left" w:leader="none"/>
        </w:tabs>
        <w:spacing w:line="271" w:lineRule="auto" w:before="108" w:after="0"/>
        <w:ind w:left="108" w:right="118" w:firstLine="0"/>
        <w:jc w:val="both"/>
        <w:rPr>
          <w:rFonts w:ascii="Arial" w:hAnsi="Arial"/>
          <w:sz w:val="20"/>
        </w:rPr>
      </w:pPr>
      <w:r>
        <w:rPr>
          <w:w w:val="115"/>
          <w:sz w:val="20"/>
        </w:rPr>
        <w:t>Impozitul pe terenurile aflate în proprietatea persoanelor fizice şi juridice care sunt utilizate pentru prestarea de servicii turistice cu caracter sezonier, pe o durată de cel mult 6 luni în cursul unui an calendaristic, se reduce cu 50%. Reducerea se aplică în anul fiscal următor celui în care este îndeplinită această</w:t>
      </w:r>
      <w:r>
        <w:rPr>
          <w:spacing w:val="-1"/>
          <w:w w:val="115"/>
          <w:sz w:val="20"/>
        </w:rPr>
        <w:t> </w:t>
      </w:r>
      <w:r>
        <w:rPr>
          <w:w w:val="115"/>
          <w:sz w:val="20"/>
        </w:rPr>
        <w:t>condiţie.</w:t>
      </w:r>
    </w:p>
    <w:p>
      <w:pPr>
        <w:pStyle w:val="ListParagraph"/>
        <w:numPr>
          <w:ilvl w:val="0"/>
          <w:numId w:val="18"/>
        </w:numPr>
        <w:tabs>
          <w:tab w:pos="333" w:val="left" w:leader="none"/>
        </w:tabs>
        <w:spacing w:line="240" w:lineRule="auto" w:before="109" w:after="0"/>
        <w:ind w:left="332" w:right="0" w:hanging="224"/>
        <w:jc w:val="both"/>
        <w:rPr>
          <w:sz w:val="20"/>
        </w:rPr>
      </w:pPr>
      <w:r>
        <w:rPr>
          <w:w w:val="110"/>
          <w:sz w:val="20"/>
        </w:rPr>
        <w:t>În cazul scutirilor prevăzute la alin. (1) lit. r), s) şi</w:t>
      </w:r>
      <w:r>
        <w:rPr>
          <w:spacing w:val="21"/>
          <w:w w:val="110"/>
          <w:sz w:val="20"/>
        </w:rPr>
        <w:t> </w:t>
      </w:r>
      <w:r>
        <w:rPr>
          <w:w w:val="110"/>
          <w:sz w:val="20"/>
        </w:rPr>
        <w:t>t):</w:t>
      </w:r>
    </w:p>
    <w:p>
      <w:pPr>
        <w:pStyle w:val="ListParagraph"/>
        <w:numPr>
          <w:ilvl w:val="0"/>
          <w:numId w:val="19"/>
        </w:numPr>
        <w:tabs>
          <w:tab w:pos="350" w:val="left" w:leader="none"/>
        </w:tabs>
        <w:spacing w:line="271" w:lineRule="auto" w:before="140" w:after="0"/>
        <w:ind w:left="108" w:right="114" w:firstLine="0"/>
        <w:jc w:val="both"/>
        <w:rPr>
          <w:sz w:val="20"/>
        </w:rPr>
      </w:pPr>
      <w:r>
        <w:rPr>
          <w:w w:val="115"/>
          <w:sz w:val="20"/>
        </w:rPr>
        <w:t>scutirea</w:t>
      </w:r>
      <w:r>
        <w:rPr>
          <w:spacing w:val="-7"/>
          <w:w w:val="115"/>
          <w:sz w:val="20"/>
        </w:rPr>
        <w:t> </w:t>
      </w:r>
      <w:r>
        <w:rPr>
          <w:w w:val="115"/>
          <w:sz w:val="20"/>
        </w:rPr>
        <w:t>se</w:t>
      </w:r>
      <w:r>
        <w:rPr>
          <w:spacing w:val="-6"/>
          <w:w w:val="115"/>
          <w:sz w:val="20"/>
        </w:rPr>
        <w:t> </w:t>
      </w:r>
      <w:r>
        <w:rPr>
          <w:w w:val="115"/>
          <w:sz w:val="20"/>
        </w:rPr>
        <w:t>acordă</w:t>
      </w:r>
      <w:r>
        <w:rPr>
          <w:spacing w:val="-6"/>
          <w:w w:val="115"/>
          <w:sz w:val="20"/>
        </w:rPr>
        <w:t> </w:t>
      </w:r>
      <w:r>
        <w:rPr>
          <w:w w:val="115"/>
          <w:sz w:val="20"/>
        </w:rPr>
        <w:t>integral</w:t>
      </w:r>
      <w:r>
        <w:rPr>
          <w:spacing w:val="-6"/>
          <w:w w:val="115"/>
          <w:sz w:val="20"/>
        </w:rPr>
        <w:t> </w:t>
      </w:r>
      <w:r>
        <w:rPr>
          <w:w w:val="115"/>
          <w:sz w:val="20"/>
        </w:rPr>
        <w:t>pentru</w:t>
      </w:r>
      <w:r>
        <w:rPr>
          <w:spacing w:val="-6"/>
          <w:w w:val="115"/>
          <w:sz w:val="20"/>
        </w:rPr>
        <w:t> </w:t>
      </w:r>
      <w:r>
        <w:rPr>
          <w:w w:val="115"/>
          <w:sz w:val="20"/>
        </w:rPr>
        <w:t>terenurile</w:t>
      </w:r>
      <w:r>
        <w:rPr>
          <w:spacing w:val="-6"/>
          <w:w w:val="115"/>
          <w:sz w:val="20"/>
        </w:rPr>
        <w:t> </w:t>
      </w:r>
      <w:r>
        <w:rPr>
          <w:w w:val="115"/>
          <w:sz w:val="20"/>
        </w:rPr>
        <w:t>aflate</w:t>
      </w:r>
      <w:r>
        <w:rPr>
          <w:spacing w:val="-6"/>
          <w:w w:val="115"/>
          <w:sz w:val="20"/>
        </w:rPr>
        <w:t> </w:t>
      </w:r>
      <w:r>
        <w:rPr>
          <w:w w:val="115"/>
          <w:sz w:val="20"/>
        </w:rPr>
        <w:t>în</w:t>
      </w:r>
      <w:r>
        <w:rPr>
          <w:spacing w:val="-6"/>
          <w:w w:val="115"/>
          <w:sz w:val="20"/>
        </w:rPr>
        <w:t> </w:t>
      </w:r>
      <w:r>
        <w:rPr>
          <w:w w:val="115"/>
          <w:sz w:val="20"/>
        </w:rPr>
        <w:t>proprietatea</w:t>
      </w:r>
      <w:r>
        <w:rPr>
          <w:spacing w:val="-6"/>
          <w:w w:val="115"/>
          <w:sz w:val="20"/>
        </w:rPr>
        <w:t> </w:t>
      </w:r>
      <w:r>
        <w:rPr>
          <w:w w:val="115"/>
          <w:sz w:val="20"/>
        </w:rPr>
        <w:t>persoanelor</w:t>
      </w:r>
      <w:r>
        <w:rPr>
          <w:spacing w:val="-6"/>
          <w:w w:val="115"/>
          <w:sz w:val="20"/>
        </w:rPr>
        <w:t> </w:t>
      </w:r>
      <w:r>
        <w:rPr>
          <w:w w:val="115"/>
          <w:sz w:val="20"/>
        </w:rPr>
        <w:t>prevăzute</w:t>
      </w:r>
      <w:r>
        <w:rPr>
          <w:spacing w:val="-6"/>
          <w:w w:val="115"/>
          <w:sz w:val="20"/>
        </w:rPr>
        <w:t> </w:t>
      </w:r>
      <w:r>
        <w:rPr>
          <w:w w:val="115"/>
          <w:sz w:val="20"/>
        </w:rPr>
        <w:t>la</w:t>
      </w:r>
      <w:r>
        <w:rPr>
          <w:spacing w:val="-6"/>
          <w:w w:val="115"/>
          <w:sz w:val="20"/>
        </w:rPr>
        <w:t> </w:t>
      </w:r>
      <w:r>
        <w:rPr>
          <w:w w:val="115"/>
          <w:sz w:val="20"/>
        </w:rPr>
        <w:t>alin.</w:t>
      </w:r>
      <w:r>
        <w:rPr>
          <w:spacing w:val="-6"/>
          <w:w w:val="115"/>
          <w:sz w:val="20"/>
        </w:rPr>
        <w:t> </w:t>
      </w:r>
      <w:r>
        <w:rPr>
          <w:w w:val="115"/>
          <w:sz w:val="20"/>
        </w:rPr>
        <w:t>(1)</w:t>
      </w:r>
      <w:r>
        <w:rPr>
          <w:spacing w:val="-6"/>
          <w:w w:val="115"/>
          <w:sz w:val="20"/>
        </w:rPr>
        <w:t> </w:t>
      </w:r>
      <w:r>
        <w:rPr>
          <w:w w:val="115"/>
          <w:sz w:val="20"/>
        </w:rPr>
        <w:t>lit. r),</w:t>
      </w:r>
      <w:r>
        <w:rPr>
          <w:spacing w:val="16"/>
          <w:w w:val="115"/>
          <w:sz w:val="20"/>
        </w:rPr>
        <w:t> </w:t>
      </w:r>
      <w:r>
        <w:rPr>
          <w:w w:val="115"/>
          <w:sz w:val="20"/>
        </w:rPr>
        <w:t>deţinute</w:t>
      </w:r>
      <w:r>
        <w:rPr>
          <w:spacing w:val="17"/>
          <w:w w:val="115"/>
          <w:sz w:val="20"/>
        </w:rPr>
        <w:t> </w:t>
      </w:r>
      <w:r>
        <w:rPr>
          <w:w w:val="115"/>
          <w:sz w:val="20"/>
        </w:rPr>
        <w:t>în</w:t>
      </w:r>
      <w:r>
        <w:rPr>
          <w:spacing w:val="16"/>
          <w:w w:val="115"/>
          <w:sz w:val="20"/>
        </w:rPr>
        <w:t> </w:t>
      </w:r>
      <w:r>
        <w:rPr>
          <w:w w:val="115"/>
          <w:sz w:val="20"/>
        </w:rPr>
        <w:t>comun</w:t>
      </w:r>
      <w:r>
        <w:rPr>
          <w:spacing w:val="17"/>
          <w:w w:val="115"/>
          <w:sz w:val="20"/>
        </w:rPr>
        <w:t> </w:t>
      </w:r>
      <w:r>
        <w:rPr>
          <w:w w:val="115"/>
          <w:sz w:val="20"/>
        </w:rPr>
        <w:t>cu</w:t>
      </w:r>
      <w:r>
        <w:rPr>
          <w:spacing w:val="17"/>
          <w:w w:val="115"/>
          <w:sz w:val="20"/>
        </w:rPr>
        <w:t> </w:t>
      </w:r>
      <w:r>
        <w:rPr>
          <w:w w:val="115"/>
          <w:sz w:val="20"/>
        </w:rPr>
        <w:t>soţul</w:t>
      </w:r>
      <w:r>
        <w:rPr>
          <w:spacing w:val="16"/>
          <w:w w:val="115"/>
          <w:sz w:val="20"/>
        </w:rPr>
        <w:t> </w:t>
      </w:r>
      <w:r>
        <w:rPr>
          <w:w w:val="115"/>
          <w:sz w:val="20"/>
        </w:rPr>
        <w:t>sau</w:t>
      </w:r>
      <w:r>
        <w:rPr>
          <w:spacing w:val="17"/>
          <w:w w:val="115"/>
          <w:sz w:val="20"/>
        </w:rPr>
        <w:t> </w:t>
      </w:r>
      <w:r>
        <w:rPr>
          <w:w w:val="115"/>
          <w:sz w:val="20"/>
        </w:rPr>
        <w:t>soţia.</w:t>
      </w:r>
      <w:r>
        <w:rPr>
          <w:spacing w:val="16"/>
          <w:w w:val="115"/>
          <w:sz w:val="20"/>
        </w:rPr>
        <w:t> </w:t>
      </w:r>
      <w:r>
        <w:rPr>
          <w:w w:val="115"/>
          <w:sz w:val="20"/>
        </w:rPr>
        <w:t>În</w:t>
      </w:r>
      <w:r>
        <w:rPr>
          <w:spacing w:val="17"/>
          <w:w w:val="115"/>
          <w:sz w:val="20"/>
        </w:rPr>
        <w:t> </w:t>
      </w:r>
      <w:r>
        <w:rPr>
          <w:w w:val="115"/>
          <w:sz w:val="20"/>
        </w:rPr>
        <w:t>situaţia</w:t>
      </w:r>
      <w:r>
        <w:rPr>
          <w:spacing w:val="17"/>
          <w:w w:val="115"/>
          <w:sz w:val="20"/>
        </w:rPr>
        <w:t> </w:t>
      </w:r>
      <w:r>
        <w:rPr>
          <w:w w:val="115"/>
          <w:sz w:val="20"/>
        </w:rPr>
        <w:t>în</w:t>
      </w:r>
      <w:r>
        <w:rPr>
          <w:spacing w:val="16"/>
          <w:w w:val="115"/>
          <w:sz w:val="20"/>
        </w:rPr>
        <w:t> </w:t>
      </w:r>
      <w:r>
        <w:rPr>
          <w:w w:val="115"/>
          <w:sz w:val="20"/>
        </w:rPr>
        <w:t>care</w:t>
      </w:r>
      <w:r>
        <w:rPr>
          <w:spacing w:val="17"/>
          <w:w w:val="115"/>
          <w:sz w:val="20"/>
        </w:rPr>
        <w:t> </w:t>
      </w:r>
      <w:r>
        <w:rPr>
          <w:w w:val="115"/>
          <w:sz w:val="20"/>
        </w:rPr>
        <w:t>o</w:t>
      </w:r>
      <w:r>
        <w:rPr>
          <w:spacing w:val="16"/>
          <w:w w:val="115"/>
          <w:sz w:val="20"/>
        </w:rPr>
        <w:t> </w:t>
      </w:r>
      <w:r>
        <w:rPr>
          <w:w w:val="115"/>
          <w:sz w:val="20"/>
        </w:rPr>
        <w:t>cotă</w:t>
      </w:r>
      <w:r>
        <w:rPr>
          <w:spacing w:val="18"/>
          <w:w w:val="115"/>
          <w:sz w:val="20"/>
        </w:rPr>
        <w:t> </w:t>
      </w:r>
      <w:r>
        <w:rPr>
          <w:w w:val="115"/>
          <w:sz w:val="20"/>
        </w:rPr>
        <w:t>-</w:t>
      </w:r>
      <w:r>
        <w:rPr>
          <w:spacing w:val="16"/>
          <w:w w:val="115"/>
          <w:sz w:val="20"/>
        </w:rPr>
        <w:t> </w:t>
      </w:r>
      <w:r>
        <w:rPr>
          <w:w w:val="115"/>
          <w:sz w:val="20"/>
        </w:rPr>
        <w:t>parte</w:t>
      </w:r>
      <w:r>
        <w:rPr>
          <w:spacing w:val="18"/>
          <w:w w:val="115"/>
          <w:sz w:val="20"/>
        </w:rPr>
        <w:t> </w:t>
      </w:r>
      <w:r>
        <w:rPr>
          <w:w w:val="115"/>
          <w:sz w:val="20"/>
        </w:rPr>
        <w:t>din</w:t>
      </w:r>
      <w:r>
        <w:rPr>
          <w:spacing w:val="17"/>
          <w:w w:val="115"/>
          <w:sz w:val="20"/>
        </w:rPr>
        <w:t> </w:t>
      </w:r>
      <w:r>
        <w:rPr>
          <w:w w:val="115"/>
          <w:sz w:val="20"/>
        </w:rPr>
        <w:t>teren</w:t>
      </w:r>
      <w:r>
        <w:rPr>
          <w:spacing w:val="18"/>
          <w:w w:val="115"/>
          <w:sz w:val="20"/>
        </w:rPr>
        <w:t> </w:t>
      </w:r>
      <w:r>
        <w:rPr>
          <w:w w:val="115"/>
          <w:sz w:val="20"/>
        </w:rPr>
        <w:t>aparţine</w:t>
      </w:r>
      <w:r>
        <w:rPr>
          <w:spacing w:val="17"/>
          <w:w w:val="115"/>
          <w:sz w:val="20"/>
        </w:rPr>
        <w:t> </w:t>
      </w:r>
      <w:r>
        <w:rPr>
          <w:w w:val="115"/>
          <w:sz w:val="20"/>
        </w:rPr>
        <w:t>unor</w:t>
      </w:r>
      <w:r>
        <w:rPr>
          <w:spacing w:val="18"/>
          <w:w w:val="115"/>
          <w:sz w:val="20"/>
        </w:rPr>
        <w:t> </w:t>
      </w:r>
      <w:r>
        <w:rPr>
          <w:w w:val="115"/>
          <w:sz w:val="20"/>
        </w:rPr>
        <w:t>terţi,</w:t>
      </w:r>
    </w:p>
    <w:p>
      <w:pPr>
        <w:spacing w:after="0" w:line="271" w:lineRule="auto"/>
        <w:jc w:val="both"/>
        <w:rPr>
          <w:sz w:val="20"/>
        </w:rPr>
        <w:sectPr>
          <w:pgSz w:w="11900" w:h="16840"/>
          <w:pgMar w:header="0" w:footer="280" w:top="500" w:bottom="560" w:left="1140" w:right="740"/>
        </w:sectPr>
      </w:pPr>
    </w:p>
    <w:p>
      <w:pPr>
        <w:pStyle w:val="BodyText"/>
        <w:spacing w:before="100"/>
        <w:ind w:left="107"/>
        <w:jc w:val="left"/>
      </w:pPr>
      <w:r>
        <w:rPr>
          <w:w w:val="115"/>
        </w:rPr>
        <w:t>scutirea nu se acordă pentru cota - parte deţinută de aceşti terţi;</w:t>
      </w:r>
    </w:p>
    <w:p>
      <w:pPr>
        <w:pStyle w:val="ListParagraph"/>
        <w:numPr>
          <w:ilvl w:val="0"/>
          <w:numId w:val="19"/>
        </w:numPr>
        <w:tabs>
          <w:tab w:pos="398" w:val="left" w:leader="none"/>
        </w:tabs>
        <w:spacing w:line="271" w:lineRule="auto" w:before="140" w:after="0"/>
        <w:ind w:left="108" w:right="114" w:firstLine="0"/>
        <w:jc w:val="both"/>
        <w:rPr>
          <w:sz w:val="20"/>
        </w:rPr>
      </w:pPr>
      <w:r>
        <w:rPr>
          <w:w w:val="115"/>
          <w:sz w:val="20"/>
        </w:rPr>
        <w:t>scutirea se acordă pentru terenul aferent clădirii de domiciliu aflate în proprietatea persoanelor prevăzute la alin. (1) lit. s) şi t), deţinute în comun cu soţul sau soţia. În situaţia în care o cotă - parte din terenul</w:t>
      </w:r>
      <w:r>
        <w:rPr>
          <w:spacing w:val="-7"/>
          <w:w w:val="115"/>
          <w:sz w:val="20"/>
        </w:rPr>
        <w:t> </w:t>
      </w:r>
      <w:r>
        <w:rPr>
          <w:w w:val="115"/>
          <w:sz w:val="20"/>
        </w:rPr>
        <w:t>respectiv</w:t>
      </w:r>
      <w:r>
        <w:rPr>
          <w:spacing w:val="-7"/>
          <w:w w:val="115"/>
          <w:sz w:val="20"/>
        </w:rPr>
        <w:t> </w:t>
      </w:r>
      <w:r>
        <w:rPr>
          <w:w w:val="115"/>
          <w:sz w:val="20"/>
        </w:rPr>
        <w:t>aparţine</w:t>
      </w:r>
      <w:r>
        <w:rPr>
          <w:spacing w:val="-7"/>
          <w:w w:val="115"/>
          <w:sz w:val="20"/>
        </w:rPr>
        <w:t> </w:t>
      </w:r>
      <w:r>
        <w:rPr>
          <w:w w:val="115"/>
          <w:sz w:val="20"/>
        </w:rPr>
        <w:t>unor</w:t>
      </w:r>
      <w:r>
        <w:rPr>
          <w:spacing w:val="-7"/>
          <w:w w:val="115"/>
          <w:sz w:val="20"/>
        </w:rPr>
        <w:t> </w:t>
      </w:r>
      <w:r>
        <w:rPr>
          <w:w w:val="115"/>
          <w:sz w:val="20"/>
        </w:rPr>
        <w:t>terţi,</w:t>
      </w:r>
      <w:r>
        <w:rPr>
          <w:spacing w:val="-7"/>
          <w:w w:val="115"/>
          <w:sz w:val="20"/>
        </w:rPr>
        <w:t> </w:t>
      </w:r>
      <w:r>
        <w:rPr>
          <w:w w:val="115"/>
          <w:sz w:val="20"/>
        </w:rPr>
        <w:t>scutirea</w:t>
      </w:r>
      <w:r>
        <w:rPr>
          <w:spacing w:val="-7"/>
          <w:w w:val="115"/>
          <w:sz w:val="20"/>
        </w:rPr>
        <w:t> </w:t>
      </w:r>
      <w:r>
        <w:rPr>
          <w:w w:val="115"/>
          <w:sz w:val="20"/>
        </w:rPr>
        <w:t>nu</w:t>
      </w:r>
      <w:r>
        <w:rPr>
          <w:spacing w:val="-7"/>
          <w:w w:val="115"/>
          <w:sz w:val="20"/>
        </w:rPr>
        <w:t> </w:t>
      </w:r>
      <w:r>
        <w:rPr>
          <w:w w:val="115"/>
          <w:sz w:val="20"/>
        </w:rPr>
        <w:t>se</w:t>
      </w:r>
      <w:r>
        <w:rPr>
          <w:spacing w:val="-7"/>
          <w:w w:val="115"/>
          <w:sz w:val="20"/>
        </w:rPr>
        <w:t> </w:t>
      </w:r>
      <w:r>
        <w:rPr>
          <w:w w:val="115"/>
          <w:sz w:val="20"/>
        </w:rPr>
        <w:t>acordă</w:t>
      </w:r>
      <w:r>
        <w:rPr>
          <w:spacing w:val="-7"/>
          <w:w w:val="115"/>
          <w:sz w:val="20"/>
        </w:rPr>
        <w:t> </w:t>
      </w:r>
      <w:r>
        <w:rPr>
          <w:w w:val="115"/>
          <w:sz w:val="20"/>
        </w:rPr>
        <w:t>pentru</w:t>
      </w:r>
      <w:r>
        <w:rPr>
          <w:spacing w:val="-7"/>
          <w:w w:val="115"/>
          <w:sz w:val="20"/>
        </w:rPr>
        <w:t> </w:t>
      </w:r>
      <w:r>
        <w:rPr>
          <w:w w:val="115"/>
          <w:sz w:val="20"/>
        </w:rPr>
        <w:t>cota</w:t>
      </w:r>
      <w:r>
        <w:rPr>
          <w:spacing w:val="-6"/>
          <w:w w:val="115"/>
          <w:sz w:val="20"/>
        </w:rPr>
        <w:t> </w:t>
      </w:r>
      <w:r>
        <w:rPr>
          <w:w w:val="115"/>
          <w:sz w:val="20"/>
        </w:rPr>
        <w:t>-</w:t>
      </w:r>
      <w:r>
        <w:rPr>
          <w:spacing w:val="-7"/>
          <w:w w:val="115"/>
          <w:sz w:val="20"/>
        </w:rPr>
        <w:t> </w:t>
      </w:r>
      <w:r>
        <w:rPr>
          <w:w w:val="115"/>
          <w:sz w:val="20"/>
        </w:rPr>
        <w:t>parte</w:t>
      </w:r>
      <w:r>
        <w:rPr>
          <w:spacing w:val="-7"/>
          <w:w w:val="115"/>
          <w:sz w:val="20"/>
        </w:rPr>
        <w:t> </w:t>
      </w:r>
      <w:r>
        <w:rPr>
          <w:w w:val="115"/>
          <w:sz w:val="20"/>
        </w:rPr>
        <w:t>deţinută</w:t>
      </w:r>
      <w:r>
        <w:rPr>
          <w:spacing w:val="-7"/>
          <w:w w:val="115"/>
          <w:sz w:val="20"/>
        </w:rPr>
        <w:t> </w:t>
      </w:r>
      <w:r>
        <w:rPr>
          <w:w w:val="115"/>
          <w:sz w:val="20"/>
        </w:rPr>
        <w:t>de</w:t>
      </w:r>
      <w:r>
        <w:rPr>
          <w:spacing w:val="-7"/>
          <w:w w:val="115"/>
          <w:sz w:val="20"/>
        </w:rPr>
        <w:t> </w:t>
      </w:r>
      <w:r>
        <w:rPr>
          <w:w w:val="115"/>
          <w:sz w:val="20"/>
        </w:rPr>
        <w:t>aceşti</w:t>
      </w:r>
      <w:r>
        <w:rPr>
          <w:spacing w:val="-7"/>
          <w:w w:val="115"/>
          <w:sz w:val="20"/>
        </w:rPr>
        <w:t> </w:t>
      </w:r>
      <w:r>
        <w:rPr>
          <w:w w:val="115"/>
          <w:sz w:val="20"/>
        </w:rPr>
        <w:t>terţi.</w:t>
      </w:r>
    </w:p>
    <w:p>
      <w:pPr>
        <w:pStyle w:val="ListParagraph"/>
        <w:numPr>
          <w:ilvl w:val="0"/>
          <w:numId w:val="18"/>
        </w:numPr>
        <w:tabs>
          <w:tab w:pos="357" w:val="left" w:leader="none"/>
        </w:tabs>
        <w:spacing w:line="271" w:lineRule="auto" w:before="109" w:after="0"/>
        <w:ind w:left="108" w:right="115" w:firstLine="0"/>
        <w:jc w:val="both"/>
        <w:rPr>
          <w:sz w:val="20"/>
        </w:rPr>
      </w:pPr>
      <w:r>
        <w:rPr>
          <w:w w:val="110"/>
          <w:sz w:val="20"/>
        </w:rPr>
        <w:t>Scutirea de la plata impozitului/taxei pe teren, stabilită conform alin. (1) lit. t), se aplică începând cu     data</w:t>
      </w:r>
      <w:r>
        <w:rPr>
          <w:spacing w:val="5"/>
          <w:w w:val="110"/>
          <w:sz w:val="20"/>
        </w:rPr>
        <w:t> </w:t>
      </w:r>
      <w:r>
        <w:rPr>
          <w:w w:val="110"/>
          <w:sz w:val="20"/>
        </w:rPr>
        <w:t>de</w:t>
      </w:r>
      <w:r>
        <w:rPr>
          <w:spacing w:val="6"/>
          <w:w w:val="110"/>
          <w:sz w:val="20"/>
        </w:rPr>
        <w:t> </w:t>
      </w:r>
      <w:r>
        <w:rPr>
          <w:w w:val="110"/>
          <w:sz w:val="20"/>
        </w:rPr>
        <w:t>1</w:t>
      </w:r>
      <w:r>
        <w:rPr>
          <w:spacing w:val="5"/>
          <w:w w:val="110"/>
          <w:sz w:val="20"/>
        </w:rPr>
        <w:t> </w:t>
      </w:r>
      <w:r>
        <w:rPr>
          <w:w w:val="110"/>
          <w:sz w:val="20"/>
        </w:rPr>
        <w:t>a</w:t>
      </w:r>
      <w:r>
        <w:rPr>
          <w:spacing w:val="6"/>
          <w:w w:val="110"/>
          <w:sz w:val="20"/>
        </w:rPr>
        <w:t> </w:t>
      </w:r>
      <w:r>
        <w:rPr>
          <w:w w:val="110"/>
          <w:sz w:val="20"/>
        </w:rPr>
        <w:t>lunii</w:t>
      </w:r>
      <w:r>
        <w:rPr>
          <w:spacing w:val="5"/>
          <w:w w:val="110"/>
          <w:sz w:val="20"/>
        </w:rPr>
        <w:t> </w:t>
      </w:r>
      <w:r>
        <w:rPr>
          <w:w w:val="110"/>
          <w:sz w:val="20"/>
        </w:rPr>
        <w:t>următoare</w:t>
      </w:r>
      <w:r>
        <w:rPr>
          <w:spacing w:val="6"/>
          <w:w w:val="110"/>
          <w:sz w:val="20"/>
        </w:rPr>
        <w:t> </w:t>
      </w:r>
      <w:r>
        <w:rPr>
          <w:w w:val="110"/>
          <w:sz w:val="20"/>
        </w:rPr>
        <w:t>celei</w:t>
      </w:r>
      <w:r>
        <w:rPr>
          <w:spacing w:val="5"/>
          <w:w w:val="110"/>
          <w:sz w:val="20"/>
        </w:rPr>
        <w:t> </w:t>
      </w:r>
      <w:r>
        <w:rPr>
          <w:w w:val="110"/>
          <w:sz w:val="20"/>
        </w:rPr>
        <w:t>în</w:t>
      </w:r>
      <w:r>
        <w:rPr>
          <w:spacing w:val="6"/>
          <w:w w:val="110"/>
          <w:sz w:val="20"/>
        </w:rPr>
        <w:t> </w:t>
      </w:r>
      <w:r>
        <w:rPr>
          <w:w w:val="110"/>
          <w:sz w:val="20"/>
        </w:rPr>
        <w:t>care</w:t>
      </w:r>
      <w:r>
        <w:rPr>
          <w:spacing w:val="5"/>
          <w:w w:val="110"/>
          <w:sz w:val="20"/>
        </w:rPr>
        <w:t> </w:t>
      </w:r>
      <w:r>
        <w:rPr>
          <w:w w:val="110"/>
          <w:sz w:val="20"/>
        </w:rPr>
        <w:t>persoana</w:t>
      </w:r>
      <w:r>
        <w:rPr>
          <w:spacing w:val="6"/>
          <w:w w:val="110"/>
          <w:sz w:val="20"/>
        </w:rPr>
        <w:t> </w:t>
      </w:r>
      <w:r>
        <w:rPr>
          <w:w w:val="110"/>
          <w:sz w:val="20"/>
        </w:rPr>
        <w:t>depune</w:t>
      </w:r>
      <w:r>
        <w:rPr>
          <w:spacing w:val="5"/>
          <w:w w:val="110"/>
          <w:sz w:val="20"/>
        </w:rPr>
        <w:t> </w:t>
      </w:r>
      <w:r>
        <w:rPr>
          <w:w w:val="110"/>
          <w:sz w:val="20"/>
        </w:rPr>
        <w:t>documentele</w:t>
      </w:r>
      <w:r>
        <w:rPr>
          <w:spacing w:val="6"/>
          <w:w w:val="110"/>
          <w:sz w:val="20"/>
        </w:rPr>
        <w:t> </w:t>
      </w:r>
      <w:r>
        <w:rPr>
          <w:w w:val="110"/>
          <w:sz w:val="20"/>
        </w:rPr>
        <w:t>justificative.</w:t>
      </w:r>
    </w:p>
    <w:p>
      <w:pPr>
        <w:spacing w:line="271" w:lineRule="auto" w:before="108"/>
        <w:ind w:left="107" w:right="112" w:firstLine="0"/>
        <w:jc w:val="both"/>
        <w:rPr>
          <w:sz w:val="20"/>
        </w:rPr>
      </w:pPr>
      <w:r>
        <w:rPr>
          <w:rFonts w:ascii="Arial" w:hAnsi="Arial"/>
          <w:b/>
          <w:w w:val="91"/>
          <w:sz w:val="20"/>
        </w:rPr>
        <w:t>A</w:t>
      </w:r>
      <w:r>
        <w:rPr>
          <w:rFonts w:ascii="Arial" w:hAnsi="Arial"/>
          <w:b/>
          <w:w w:val="110"/>
          <w:sz w:val="20"/>
        </w:rPr>
        <w:t>r</w:t>
      </w:r>
      <w:r>
        <w:rPr>
          <w:rFonts w:ascii="Arial" w:hAnsi="Arial"/>
          <w:b/>
          <w:w w:val="118"/>
          <w:sz w:val="20"/>
        </w:rPr>
        <w:t>t</w:t>
      </w:r>
      <w:r>
        <w:rPr>
          <w:rFonts w:ascii="Arial" w:hAnsi="Arial"/>
          <w:b/>
          <w:w w:val="98"/>
          <w:sz w:val="20"/>
        </w:rPr>
        <w:t>.</w:t>
      </w:r>
      <w:r>
        <w:rPr>
          <w:rFonts w:ascii="Arial" w:hAnsi="Arial"/>
          <w:b/>
          <w:sz w:val="20"/>
        </w:rPr>
        <w:t>  </w:t>
      </w:r>
      <w:r>
        <w:rPr>
          <w:rFonts w:ascii="Arial" w:hAnsi="Arial"/>
          <w:b/>
          <w:w w:val="102"/>
          <w:sz w:val="20"/>
        </w:rPr>
        <w:t>3</w:t>
      </w:r>
      <w:r>
        <w:rPr>
          <w:rFonts w:ascii="Arial" w:hAnsi="Arial"/>
          <w:b/>
          <w:w w:val="98"/>
          <w:sz w:val="20"/>
        </w:rPr>
        <w:t>.</w:t>
      </w:r>
      <w:r>
        <w:rPr>
          <w:rFonts w:ascii="Arial" w:hAnsi="Arial"/>
          <w:b/>
          <w:sz w:val="20"/>
        </w:rPr>
        <w:t>  </w:t>
      </w:r>
      <w:r>
        <w:rPr>
          <w:rFonts w:ascii="Arial" w:hAnsi="Arial"/>
          <w:b/>
          <w:w w:val="102"/>
          <w:sz w:val="20"/>
        </w:rPr>
        <w:t>1</w:t>
      </w:r>
      <w:r>
        <w:rPr>
          <w:rFonts w:ascii="Arial" w:hAnsi="Arial"/>
          <w:b/>
          <w:w w:val="98"/>
          <w:sz w:val="20"/>
        </w:rPr>
        <w:t>.</w:t>
      </w:r>
      <w:r>
        <w:rPr>
          <w:rFonts w:ascii="Arial" w:hAnsi="Arial"/>
          <w:b/>
          <w:sz w:val="20"/>
        </w:rPr>
        <w:t>    </w:t>
      </w:r>
      <w:r>
        <w:rPr>
          <w:w w:val="110"/>
          <w:sz w:val="20"/>
        </w:rPr>
        <w:t>I</w:t>
      </w:r>
      <w:r>
        <w:rPr>
          <w:w w:val="115"/>
          <w:sz w:val="20"/>
        </w:rPr>
        <w:t>m</w:t>
      </w:r>
      <w:r>
        <w:rPr>
          <w:w w:val="116"/>
          <w:sz w:val="20"/>
        </w:rPr>
        <w:t>p</w:t>
      </w:r>
      <w:r>
        <w:rPr>
          <w:w w:val="113"/>
          <w:sz w:val="20"/>
        </w:rPr>
        <w:t>o</w:t>
      </w:r>
      <w:r>
        <w:rPr>
          <w:w w:val="118"/>
          <w:sz w:val="20"/>
        </w:rPr>
        <w:t>z</w:t>
      </w:r>
      <w:r>
        <w:rPr>
          <w:w w:val="109"/>
          <w:sz w:val="20"/>
        </w:rPr>
        <w:t>i</w:t>
      </w:r>
      <w:r>
        <w:rPr>
          <w:w w:val="106"/>
          <w:sz w:val="20"/>
        </w:rPr>
        <w:t>t</w:t>
      </w:r>
      <w:r>
        <w:rPr>
          <w:w w:val="116"/>
          <w:sz w:val="20"/>
        </w:rPr>
        <w:t>u</w:t>
      </w:r>
      <w:r>
        <w:rPr>
          <w:w w:val="109"/>
          <w:sz w:val="20"/>
        </w:rPr>
        <w:t>l</w:t>
      </w:r>
      <w:r>
        <w:rPr>
          <w:sz w:val="20"/>
        </w:rPr>
        <w:t>  </w:t>
      </w:r>
      <w:r>
        <w:rPr>
          <w:w w:val="116"/>
          <w:sz w:val="20"/>
        </w:rPr>
        <w:t>p</w:t>
      </w:r>
      <w:r>
        <w:rPr>
          <w:w w:val="112"/>
          <w:sz w:val="20"/>
        </w:rPr>
        <w:t>e</w:t>
      </w:r>
      <w:r>
        <w:rPr>
          <w:rFonts w:ascii="Times New Roman" w:hAnsi="Times New Roman"/>
          <w:w w:val="99"/>
          <w:sz w:val="20"/>
          <w:u w:val="single"/>
        </w:rPr>
        <w:t> </w:t>
      </w:r>
      <w:r>
        <w:rPr>
          <w:rFonts w:ascii="Times New Roman" w:hAnsi="Times New Roman"/>
          <w:sz w:val="20"/>
          <w:u w:val="single"/>
        </w:rPr>
        <w:t> </w:t>
      </w:r>
      <w:r>
        <w:rPr>
          <w:rFonts w:ascii="Arial" w:hAnsi="Arial"/>
          <w:b/>
          <w:w w:val="110"/>
          <w:sz w:val="20"/>
          <w:u w:val="single"/>
        </w:rPr>
        <w:t>M</w:t>
      </w:r>
      <w:r>
        <w:rPr>
          <w:rFonts w:ascii="Arial" w:hAnsi="Arial"/>
          <w:b/>
          <w:w w:val="109"/>
          <w:sz w:val="20"/>
          <w:u w:val="single"/>
        </w:rPr>
        <w:t>I</w:t>
      </w:r>
      <w:r>
        <w:rPr>
          <w:rFonts w:ascii="Arial" w:hAnsi="Arial"/>
          <w:b/>
          <w:w w:val="53"/>
          <w:sz w:val="20"/>
          <w:u w:val="single"/>
        </w:rPr>
        <w:t>J</w:t>
      </w:r>
      <w:r>
        <w:rPr>
          <w:rFonts w:ascii="Arial" w:hAnsi="Arial"/>
          <w:b/>
          <w:w w:val="88"/>
          <w:sz w:val="20"/>
          <w:u w:val="single"/>
        </w:rPr>
        <w:t>L</w:t>
      </w:r>
      <w:r>
        <w:rPr>
          <w:rFonts w:ascii="Arial" w:hAnsi="Arial"/>
          <w:b/>
          <w:w w:val="100"/>
          <w:sz w:val="20"/>
          <w:u w:val="single"/>
        </w:rPr>
        <w:t>O</w:t>
      </w:r>
      <w:r>
        <w:rPr>
          <w:rFonts w:ascii="Arial" w:hAnsi="Arial"/>
          <w:b/>
          <w:w w:val="91"/>
          <w:sz w:val="20"/>
          <w:u w:val="single"/>
        </w:rPr>
        <w:t>A</w:t>
      </w:r>
      <w:r>
        <w:rPr>
          <w:rFonts w:ascii="Arial" w:hAnsi="Arial"/>
          <w:b/>
          <w:w w:val="87"/>
          <w:sz w:val="20"/>
          <w:u w:val="single"/>
        </w:rPr>
        <w:t>C</w:t>
      </w:r>
      <w:r>
        <w:rPr>
          <w:rFonts w:ascii="Arial" w:hAnsi="Arial"/>
          <w:b/>
          <w:w w:val="83"/>
          <w:sz w:val="20"/>
          <w:u w:val="single"/>
        </w:rPr>
        <w:t>E</w:t>
      </w:r>
      <w:r>
        <w:rPr>
          <w:rFonts w:ascii="Arial" w:hAnsi="Arial"/>
          <w:b/>
          <w:w w:val="88"/>
          <w:sz w:val="20"/>
          <w:u w:val="single"/>
        </w:rPr>
        <w:t>L</w:t>
      </w:r>
      <w:r>
        <w:rPr>
          <w:rFonts w:ascii="Arial" w:hAnsi="Arial"/>
          <w:b/>
          <w:w w:val="83"/>
          <w:sz w:val="20"/>
          <w:u w:val="single"/>
        </w:rPr>
        <w:t>E</w:t>
      </w:r>
      <w:r>
        <w:rPr>
          <w:rFonts w:ascii="Arial" w:hAnsi="Arial"/>
          <w:b/>
          <w:sz w:val="20"/>
          <w:u w:val="single"/>
        </w:rPr>
        <w:t>  </w:t>
      </w:r>
      <w:r>
        <w:rPr>
          <w:rFonts w:ascii="Arial" w:hAnsi="Arial"/>
          <w:b/>
          <w:w w:val="101"/>
          <w:sz w:val="20"/>
          <w:u w:val="single"/>
        </w:rPr>
        <w:t>D</w:t>
      </w:r>
      <w:r>
        <w:rPr>
          <w:rFonts w:ascii="Arial" w:hAnsi="Arial"/>
          <w:b/>
          <w:w w:val="83"/>
          <w:sz w:val="20"/>
          <w:u w:val="single"/>
        </w:rPr>
        <w:t>E</w:t>
      </w:r>
      <w:r>
        <w:rPr>
          <w:rFonts w:ascii="Arial" w:hAnsi="Arial"/>
          <w:b/>
          <w:sz w:val="20"/>
          <w:u w:val="single"/>
        </w:rPr>
        <w:t>  </w:t>
      </w:r>
      <w:r>
        <w:rPr>
          <w:rFonts w:ascii="Arial" w:hAnsi="Arial"/>
          <w:b/>
          <w:w w:val="92"/>
          <w:sz w:val="20"/>
          <w:u w:val="single"/>
        </w:rPr>
        <w:t>T</w:t>
      </w:r>
      <w:r>
        <w:rPr>
          <w:rFonts w:ascii="Arial" w:hAnsi="Arial"/>
          <w:b/>
          <w:w w:val="88"/>
          <w:sz w:val="20"/>
          <w:u w:val="single"/>
        </w:rPr>
        <w:t>R</w:t>
      </w:r>
      <w:r>
        <w:rPr>
          <w:rFonts w:ascii="Arial" w:hAnsi="Arial"/>
          <w:b/>
          <w:w w:val="91"/>
          <w:sz w:val="20"/>
          <w:u w:val="single"/>
        </w:rPr>
        <w:t>A</w:t>
      </w:r>
      <w:r>
        <w:rPr>
          <w:rFonts w:ascii="Arial" w:hAnsi="Arial"/>
          <w:b/>
          <w:w w:val="108"/>
          <w:sz w:val="20"/>
          <w:u w:val="single"/>
        </w:rPr>
        <w:t>N</w:t>
      </w:r>
      <w:r>
        <w:rPr>
          <w:rFonts w:ascii="Arial" w:hAnsi="Arial"/>
          <w:b/>
          <w:w w:val="82"/>
          <w:sz w:val="20"/>
          <w:u w:val="single"/>
        </w:rPr>
        <w:t>S</w:t>
      </w:r>
      <w:r>
        <w:rPr>
          <w:rFonts w:ascii="Arial" w:hAnsi="Arial"/>
          <w:b/>
          <w:w w:val="91"/>
          <w:sz w:val="20"/>
          <w:u w:val="single"/>
        </w:rPr>
        <w:t>P</w:t>
      </w:r>
      <w:r>
        <w:rPr>
          <w:rFonts w:ascii="Arial" w:hAnsi="Arial"/>
          <w:b/>
          <w:w w:val="100"/>
          <w:sz w:val="20"/>
          <w:u w:val="single"/>
        </w:rPr>
        <w:t>O</w:t>
      </w:r>
      <w:r>
        <w:rPr>
          <w:rFonts w:ascii="Arial" w:hAnsi="Arial"/>
          <w:b/>
          <w:w w:val="88"/>
          <w:sz w:val="20"/>
          <w:u w:val="single"/>
        </w:rPr>
        <w:t>R</w:t>
      </w:r>
      <w:r>
        <w:rPr>
          <w:rFonts w:ascii="Arial" w:hAnsi="Arial"/>
          <w:b/>
          <w:w w:val="92"/>
          <w:sz w:val="20"/>
          <w:u w:val="single"/>
        </w:rPr>
        <w:t>T</w:t>
      </w:r>
      <w:r>
        <w:rPr>
          <w:rFonts w:ascii="Arial" w:hAnsi="Arial"/>
          <w:b/>
          <w:sz w:val="20"/>
        </w:rPr>
        <w:t> </w:t>
      </w:r>
      <w:r>
        <w:rPr>
          <w:w w:val="121"/>
          <w:sz w:val="20"/>
        </w:rPr>
        <w:t>s</w:t>
      </w:r>
      <w:r>
        <w:rPr>
          <w:w w:val="112"/>
          <w:sz w:val="20"/>
        </w:rPr>
        <w:t>e</w:t>
      </w:r>
      <w:r>
        <w:rPr>
          <w:sz w:val="20"/>
        </w:rPr>
        <w:t>  </w:t>
      </w:r>
      <w:r>
        <w:rPr>
          <w:w w:val="113"/>
          <w:sz w:val="20"/>
        </w:rPr>
        <w:t>c</w:t>
      </w:r>
      <w:r>
        <w:rPr>
          <w:w w:val="115"/>
          <w:sz w:val="20"/>
        </w:rPr>
        <w:t>a</w:t>
      </w:r>
      <w:r>
        <w:rPr>
          <w:w w:val="109"/>
          <w:sz w:val="20"/>
        </w:rPr>
        <w:t>l</w:t>
      </w:r>
      <w:r>
        <w:rPr>
          <w:w w:val="113"/>
          <w:sz w:val="20"/>
        </w:rPr>
        <w:t>c</w:t>
      </w:r>
      <w:r>
        <w:rPr>
          <w:w w:val="116"/>
          <w:sz w:val="20"/>
        </w:rPr>
        <w:t>u</w:t>
      </w:r>
      <w:r>
        <w:rPr>
          <w:w w:val="109"/>
          <w:sz w:val="20"/>
        </w:rPr>
        <w:t>l</w:t>
      </w:r>
      <w:r>
        <w:rPr>
          <w:w w:val="112"/>
          <w:sz w:val="20"/>
        </w:rPr>
        <w:t>e</w:t>
      </w:r>
      <w:r>
        <w:rPr>
          <w:w w:val="115"/>
          <w:sz w:val="20"/>
        </w:rPr>
        <w:t>a</w:t>
      </w:r>
      <w:r>
        <w:rPr>
          <w:w w:val="118"/>
          <w:sz w:val="20"/>
        </w:rPr>
        <w:t>z</w:t>
      </w:r>
      <w:r>
        <w:rPr>
          <w:w w:val="115"/>
          <w:sz w:val="20"/>
        </w:rPr>
        <w:t>ă</w:t>
      </w:r>
      <w:r>
        <w:rPr>
          <w:sz w:val="20"/>
        </w:rPr>
        <w:t>  </w:t>
      </w:r>
      <w:r>
        <w:rPr>
          <w:w w:val="109"/>
          <w:sz w:val="20"/>
        </w:rPr>
        <w:t>î</w:t>
      </w:r>
      <w:r>
        <w:rPr>
          <w:w w:val="116"/>
          <w:sz w:val="20"/>
        </w:rPr>
        <w:t>n</w:t>
      </w:r>
      <w:r>
        <w:rPr>
          <w:sz w:val="20"/>
        </w:rPr>
        <w:t>  </w:t>
      </w:r>
      <w:r>
        <w:rPr>
          <w:w w:val="110"/>
          <w:sz w:val="20"/>
        </w:rPr>
        <w:t>f</w:t>
      </w:r>
      <w:r>
        <w:rPr>
          <w:w w:val="116"/>
          <w:sz w:val="20"/>
        </w:rPr>
        <w:t>un</w:t>
      </w:r>
      <w:r>
        <w:rPr>
          <w:w w:val="113"/>
          <w:sz w:val="20"/>
        </w:rPr>
        <w:t>c</w:t>
      </w:r>
      <w:r>
        <w:rPr>
          <w:w w:val="106"/>
          <w:sz w:val="20"/>
        </w:rPr>
        <w:t>ţ</w:t>
      </w:r>
      <w:r>
        <w:rPr>
          <w:w w:val="109"/>
          <w:sz w:val="20"/>
        </w:rPr>
        <w:t>i</w:t>
      </w:r>
      <w:r>
        <w:rPr>
          <w:w w:val="112"/>
          <w:sz w:val="20"/>
        </w:rPr>
        <w:t>e</w:t>
      </w:r>
      <w:r>
        <w:rPr>
          <w:sz w:val="20"/>
        </w:rPr>
        <w:t>  </w:t>
      </w:r>
      <w:r>
        <w:rPr>
          <w:w w:val="116"/>
          <w:sz w:val="20"/>
        </w:rPr>
        <w:t>d</w:t>
      </w:r>
      <w:r>
        <w:rPr>
          <w:w w:val="112"/>
          <w:sz w:val="20"/>
        </w:rPr>
        <w:t>e</w:t>
      </w:r>
      <w:r>
        <w:rPr>
          <w:sz w:val="20"/>
        </w:rPr>
        <w:t>  </w:t>
      </w:r>
      <w:r>
        <w:rPr>
          <w:w w:val="106"/>
          <w:sz w:val="20"/>
        </w:rPr>
        <w:t>t</w:t>
      </w:r>
      <w:r>
        <w:rPr>
          <w:w w:val="109"/>
          <w:sz w:val="20"/>
        </w:rPr>
        <w:t>i</w:t>
      </w:r>
      <w:r>
        <w:rPr>
          <w:w w:val="116"/>
          <w:sz w:val="20"/>
        </w:rPr>
        <w:t>p</w:t>
      </w:r>
      <w:r>
        <w:rPr>
          <w:w w:val="116"/>
          <w:sz w:val="20"/>
        </w:rPr>
        <w:t>u</w:t>
      </w:r>
      <w:r>
        <w:rPr>
          <w:w w:val="109"/>
          <w:sz w:val="20"/>
        </w:rPr>
        <w:t>l</w:t>
      </w:r>
      <w:r>
        <w:rPr>
          <w:sz w:val="20"/>
        </w:rPr>
        <w:t>  </w:t>
      </w:r>
      <w:r>
        <w:rPr>
          <w:w w:val="115"/>
          <w:sz w:val="20"/>
        </w:rPr>
        <w:t>m</w:t>
      </w:r>
      <w:r>
        <w:rPr>
          <w:w w:val="109"/>
          <w:sz w:val="20"/>
        </w:rPr>
        <w:t>i</w:t>
      </w:r>
      <w:r>
        <w:rPr>
          <w:w w:val="105"/>
          <w:sz w:val="20"/>
        </w:rPr>
        <w:t>j</w:t>
      </w:r>
      <w:r>
        <w:rPr>
          <w:w w:val="109"/>
          <w:sz w:val="20"/>
        </w:rPr>
        <w:t>l</w:t>
      </w:r>
      <w:r>
        <w:rPr>
          <w:w w:val="113"/>
          <w:sz w:val="20"/>
        </w:rPr>
        <w:t>o</w:t>
      </w:r>
      <w:r>
        <w:rPr>
          <w:w w:val="113"/>
          <w:sz w:val="20"/>
        </w:rPr>
        <w:t>c</w:t>
      </w:r>
      <w:r>
        <w:rPr>
          <w:w w:val="116"/>
          <w:sz w:val="20"/>
        </w:rPr>
        <w:t>u</w:t>
      </w:r>
      <w:r>
        <w:rPr>
          <w:w w:val="109"/>
          <w:sz w:val="20"/>
        </w:rPr>
        <w:t>l</w:t>
      </w:r>
      <w:r>
        <w:rPr>
          <w:w w:val="116"/>
          <w:sz w:val="20"/>
        </w:rPr>
        <w:t>u</w:t>
      </w:r>
      <w:r>
        <w:rPr>
          <w:w w:val="109"/>
          <w:sz w:val="20"/>
        </w:rPr>
        <w:t>i</w:t>
      </w:r>
      <w:r>
        <w:rPr>
          <w:sz w:val="20"/>
        </w:rPr>
        <w:t>  </w:t>
      </w:r>
      <w:r>
        <w:rPr>
          <w:w w:val="116"/>
          <w:sz w:val="20"/>
        </w:rPr>
        <w:t>d</w:t>
      </w:r>
      <w:r>
        <w:rPr>
          <w:w w:val="112"/>
          <w:sz w:val="20"/>
        </w:rPr>
        <w:t>e </w:t>
      </w:r>
      <w:r>
        <w:rPr>
          <w:w w:val="105"/>
          <w:sz w:val="20"/>
        </w:rPr>
        <w:t>transport.</w:t>
      </w:r>
    </w:p>
    <w:p>
      <w:pPr>
        <w:pStyle w:val="Heading2"/>
        <w:numPr>
          <w:ilvl w:val="0"/>
          <w:numId w:val="20"/>
        </w:numPr>
        <w:tabs>
          <w:tab w:pos="329" w:val="left" w:leader="none"/>
        </w:tabs>
        <w:spacing w:line="240" w:lineRule="auto" w:before="109" w:after="0"/>
        <w:ind w:left="328" w:right="0" w:hanging="220"/>
        <w:jc w:val="left"/>
        <w:rPr>
          <w:rFonts w:ascii="Calibri" w:hAnsi="Calibri"/>
        </w:rPr>
      </w:pPr>
      <w:r>
        <w:rPr/>
        <w:t>Mijloace de transport cu tracţiune</w:t>
      </w:r>
      <w:r>
        <w:rPr>
          <w:spacing w:val="-18"/>
        </w:rPr>
        <w:t> </w:t>
      </w:r>
      <w:r>
        <w:rPr/>
        <w:t>mecanică</w:t>
      </w:r>
    </w:p>
    <w:p>
      <w:pPr>
        <w:pStyle w:val="ListParagraph"/>
        <w:numPr>
          <w:ilvl w:val="0"/>
          <w:numId w:val="20"/>
        </w:numPr>
        <w:tabs>
          <w:tab w:pos="342" w:val="left" w:leader="none"/>
        </w:tabs>
        <w:spacing w:line="271" w:lineRule="auto" w:before="140" w:after="0"/>
        <w:ind w:left="108" w:right="107" w:firstLine="0"/>
        <w:jc w:val="both"/>
        <w:rPr>
          <w:sz w:val="20"/>
        </w:rPr>
      </w:pPr>
      <w:r>
        <w:rPr>
          <w:w w:val="115"/>
          <w:sz w:val="20"/>
        </w:rPr>
        <w:t>În cazul oricăruia dintre următoarele autovehicule, impozitul pe mijlocul de transport se calculează în funcţie de capacitatea cilindrică a acestuia, prin înmulţirea fiecărei grupe de 200 cm</w:t>
      </w:r>
      <w:r>
        <w:rPr>
          <w:w w:val="115"/>
          <w:position w:val="8"/>
          <w:sz w:val="15"/>
        </w:rPr>
        <w:t>3 </w:t>
      </w:r>
      <w:r>
        <w:rPr>
          <w:w w:val="115"/>
          <w:sz w:val="20"/>
        </w:rPr>
        <w:t>sau fracţiune din aceasta cu suma corespunzătoare din tabelul</w:t>
      </w:r>
      <w:r>
        <w:rPr>
          <w:spacing w:val="-8"/>
          <w:w w:val="115"/>
          <w:sz w:val="20"/>
        </w:rPr>
        <w:t> </w:t>
      </w:r>
      <w:r>
        <w:rPr>
          <w:w w:val="115"/>
          <w:sz w:val="20"/>
        </w:rPr>
        <w:t>următor:</w:t>
      </w:r>
    </w:p>
    <w:p>
      <w:pPr>
        <w:pStyle w:val="BodyText"/>
        <w:spacing w:before="0"/>
        <w:ind w:left="0"/>
        <w:jc w:val="left"/>
      </w:pPr>
    </w:p>
    <w:p>
      <w:pPr>
        <w:pStyle w:val="BodyText"/>
        <w:spacing w:before="6"/>
        <w:ind w:left="0"/>
        <w:jc w:val="left"/>
        <w:rPr>
          <w:sz w:val="24"/>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6341"/>
        <w:gridCol w:w="230"/>
        <w:gridCol w:w="3209"/>
      </w:tblGrid>
      <w:tr>
        <w:trPr>
          <w:trHeight w:val="1469" w:hRule="atLeast"/>
        </w:trPr>
        <w:tc>
          <w:tcPr>
            <w:tcW w:w="6571" w:type="dxa"/>
            <w:gridSpan w:val="2"/>
          </w:tcPr>
          <w:p>
            <w:pPr>
              <w:pStyle w:val="TableParagraph"/>
              <w:rPr>
                <w:sz w:val="20"/>
              </w:rPr>
            </w:pPr>
            <w:r>
              <w:rPr>
                <w:w w:val="115"/>
                <w:sz w:val="20"/>
              </w:rPr>
              <w:t>Tipuri de autovehicule</w:t>
            </w:r>
          </w:p>
        </w:tc>
        <w:tc>
          <w:tcPr>
            <w:tcW w:w="3209" w:type="dxa"/>
          </w:tcPr>
          <w:p>
            <w:pPr>
              <w:pStyle w:val="TableParagraph"/>
              <w:spacing w:line="271" w:lineRule="auto"/>
              <w:ind w:left="113" w:right="777"/>
              <w:rPr>
                <w:sz w:val="20"/>
              </w:rPr>
            </w:pPr>
            <w:r>
              <w:rPr>
                <w:w w:val="115"/>
                <w:sz w:val="20"/>
              </w:rPr>
              <w:t>Sumă, în lei, pentru fiecare grupă de 200 cm3</w:t>
            </w:r>
          </w:p>
          <w:p>
            <w:pPr>
              <w:pStyle w:val="TableParagraph"/>
              <w:spacing w:line="271" w:lineRule="auto" w:before="1"/>
              <w:ind w:left="113" w:right="777" w:firstLine="51"/>
              <w:rPr>
                <w:sz w:val="20"/>
              </w:rPr>
            </w:pPr>
            <w:r>
              <w:rPr>
                <w:w w:val="115"/>
                <w:sz w:val="20"/>
              </w:rPr>
              <w:t>sau fracţiune din aceasta</w:t>
            </w:r>
          </w:p>
        </w:tc>
      </w:tr>
      <w:tr>
        <w:trPr>
          <w:trHeight w:val="363" w:hRule="atLeast"/>
        </w:trPr>
        <w:tc>
          <w:tcPr>
            <w:tcW w:w="9780" w:type="dxa"/>
            <w:gridSpan w:val="3"/>
          </w:tcPr>
          <w:p>
            <w:pPr>
              <w:pStyle w:val="TableParagraph"/>
              <w:ind w:left="371"/>
              <w:rPr>
                <w:sz w:val="20"/>
              </w:rPr>
            </w:pPr>
            <w:r>
              <w:rPr>
                <w:w w:val="115"/>
                <w:sz w:val="20"/>
              </w:rPr>
              <w:t>I. VEHICULE ÎNMATRICULATE (lei/200 cm3 sau fracţiune din aceasta)</w:t>
            </w:r>
          </w:p>
        </w:tc>
      </w:tr>
      <w:tr>
        <w:trPr>
          <w:trHeight w:val="640" w:hRule="atLeast"/>
        </w:trPr>
        <w:tc>
          <w:tcPr>
            <w:tcW w:w="6571" w:type="dxa"/>
            <w:gridSpan w:val="2"/>
          </w:tcPr>
          <w:p>
            <w:pPr>
              <w:pStyle w:val="TableParagraph"/>
              <w:spacing w:line="271" w:lineRule="auto"/>
              <w:rPr>
                <w:sz w:val="20"/>
              </w:rPr>
            </w:pPr>
            <w:r>
              <w:rPr>
                <w:w w:val="115"/>
                <w:sz w:val="20"/>
              </w:rPr>
              <w:t>1. Motociclete,tricicluri,cvadricicluri şi autoturisme cu capacitatea cilindricã de pânã la 1.600 cm3, inclusiv</w:t>
            </w:r>
          </w:p>
        </w:tc>
        <w:tc>
          <w:tcPr>
            <w:tcW w:w="3209" w:type="dxa"/>
          </w:tcPr>
          <w:p>
            <w:pPr>
              <w:pStyle w:val="TableParagraph"/>
              <w:ind w:left="113"/>
              <w:rPr>
                <w:sz w:val="20"/>
              </w:rPr>
            </w:pPr>
            <w:r>
              <w:rPr>
                <w:w w:val="112"/>
                <w:sz w:val="20"/>
              </w:rPr>
              <w:t>8</w:t>
            </w:r>
          </w:p>
        </w:tc>
      </w:tr>
      <w:tr>
        <w:trPr>
          <w:trHeight w:val="363" w:hRule="atLeast"/>
        </w:trPr>
        <w:tc>
          <w:tcPr>
            <w:tcW w:w="6571" w:type="dxa"/>
            <w:gridSpan w:val="2"/>
          </w:tcPr>
          <w:p>
            <w:pPr>
              <w:pStyle w:val="TableParagraph"/>
              <w:rPr>
                <w:sz w:val="20"/>
              </w:rPr>
            </w:pPr>
            <w:r>
              <w:rPr>
                <w:w w:val="115"/>
                <w:sz w:val="20"/>
              </w:rPr>
              <w:t>2.Motociclete,tricicluri cu capacitatea cilindrică de peste 1.600 cm3</w:t>
            </w:r>
          </w:p>
        </w:tc>
        <w:tc>
          <w:tcPr>
            <w:tcW w:w="3209" w:type="dxa"/>
          </w:tcPr>
          <w:p>
            <w:pPr>
              <w:pStyle w:val="TableParagraph"/>
              <w:ind w:left="113"/>
              <w:rPr>
                <w:sz w:val="20"/>
              </w:rPr>
            </w:pPr>
            <w:r>
              <w:rPr>
                <w:w w:val="112"/>
                <w:sz w:val="20"/>
              </w:rPr>
              <w:t>9</w:t>
            </w:r>
          </w:p>
        </w:tc>
      </w:tr>
      <w:tr>
        <w:trPr>
          <w:trHeight w:val="640" w:hRule="atLeast"/>
        </w:trPr>
        <w:tc>
          <w:tcPr>
            <w:tcW w:w="6571" w:type="dxa"/>
            <w:gridSpan w:val="2"/>
          </w:tcPr>
          <w:p>
            <w:pPr>
              <w:pStyle w:val="TableParagraph"/>
              <w:spacing w:line="271" w:lineRule="auto"/>
              <w:ind w:left="164" w:right="1208" w:hanging="52"/>
              <w:rPr>
                <w:sz w:val="20"/>
              </w:rPr>
            </w:pPr>
            <w:r>
              <w:rPr>
                <w:w w:val="115"/>
                <w:sz w:val="20"/>
              </w:rPr>
              <w:t>2. Autoturisme cu capacitatea cilindricã între 1.601 cm3 şi 2.000 cm3, inclusiv</w:t>
            </w:r>
          </w:p>
        </w:tc>
        <w:tc>
          <w:tcPr>
            <w:tcW w:w="3209" w:type="dxa"/>
          </w:tcPr>
          <w:p>
            <w:pPr>
              <w:pStyle w:val="TableParagraph"/>
              <w:ind w:left="113"/>
              <w:rPr>
                <w:sz w:val="20"/>
              </w:rPr>
            </w:pPr>
            <w:r>
              <w:rPr>
                <w:w w:val="115"/>
                <w:sz w:val="20"/>
              </w:rPr>
              <w:t>20</w:t>
            </w:r>
          </w:p>
        </w:tc>
      </w:tr>
      <w:tr>
        <w:trPr>
          <w:trHeight w:val="640" w:hRule="atLeast"/>
        </w:trPr>
        <w:tc>
          <w:tcPr>
            <w:tcW w:w="6571" w:type="dxa"/>
            <w:gridSpan w:val="2"/>
          </w:tcPr>
          <w:p>
            <w:pPr>
              <w:pStyle w:val="TableParagraph"/>
              <w:spacing w:line="271" w:lineRule="auto"/>
              <w:rPr>
                <w:sz w:val="20"/>
              </w:rPr>
            </w:pPr>
            <w:r>
              <w:rPr>
                <w:w w:val="115"/>
                <w:sz w:val="20"/>
              </w:rPr>
              <w:t>3</w:t>
            </w:r>
            <w:r>
              <w:rPr>
                <w:spacing w:val="-13"/>
                <w:w w:val="115"/>
                <w:sz w:val="20"/>
              </w:rPr>
              <w:t> </w:t>
            </w:r>
            <w:r>
              <w:rPr>
                <w:w w:val="115"/>
                <w:sz w:val="20"/>
              </w:rPr>
              <w:t>Autoturisme</w:t>
            </w:r>
            <w:r>
              <w:rPr>
                <w:spacing w:val="-12"/>
                <w:w w:val="115"/>
                <w:sz w:val="20"/>
              </w:rPr>
              <w:t> </w:t>
            </w:r>
            <w:r>
              <w:rPr>
                <w:w w:val="115"/>
                <w:sz w:val="20"/>
              </w:rPr>
              <w:t>cu</w:t>
            </w:r>
            <w:r>
              <w:rPr>
                <w:spacing w:val="-12"/>
                <w:w w:val="115"/>
                <w:sz w:val="20"/>
              </w:rPr>
              <w:t> </w:t>
            </w:r>
            <w:r>
              <w:rPr>
                <w:w w:val="115"/>
                <w:sz w:val="20"/>
              </w:rPr>
              <w:t>capacitatea</w:t>
            </w:r>
            <w:r>
              <w:rPr>
                <w:spacing w:val="-12"/>
                <w:w w:val="115"/>
                <w:sz w:val="20"/>
              </w:rPr>
              <w:t> </w:t>
            </w:r>
            <w:r>
              <w:rPr>
                <w:w w:val="115"/>
                <w:sz w:val="20"/>
              </w:rPr>
              <w:t>cilindricã</w:t>
            </w:r>
            <w:r>
              <w:rPr>
                <w:spacing w:val="-13"/>
                <w:w w:val="115"/>
                <w:sz w:val="20"/>
              </w:rPr>
              <w:t> </w:t>
            </w:r>
            <w:r>
              <w:rPr>
                <w:w w:val="115"/>
                <w:sz w:val="20"/>
              </w:rPr>
              <w:t>între</w:t>
            </w:r>
            <w:r>
              <w:rPr>
                <w:spacing w:val="-12"/>
                <w:w w:val="115"/>
                <w:sz w:val="20"/>
              </w:rPr>
              <w:t> </w:t>
            </w:r>
            <w:r>
              <w:rPr>
                <w:w w:val="115"/>
                <w:sz w:val="20"/>
              </w:rPr>
              <w:t>2.001</w:t>
            </w:r>
            <w:r>
              <w:rPr>
                <w:spacing w:val="-12"/>
                <w:w w:val="115"/>
                <w:sz w:val="20"/>
              </w:rPr>
              <w:t> </w:t>
            </w:r>
            <w:r>
              <w:rPr>
                <w:w w:val="115"/>
                <w:sz w:val="20"/>
              </w:rPr>
              <w:t>cm3</w:t>
            </w:r>
            <w:r>
              <w:rPr>
                <w:spacing w:val="-12"/>
                <w:w w:val="115"/>
                <w:sz w:val="20"/>
              </w:rPr>
              <w:t> </w:t>
            </w:r>
            <w:r>
              <w:rPr>
                <w:w w:val="115"/>
                <w:sz w:val="20"/>
              </w:rPr>
              <w:t>şi</w:t>
            </w:r>
            <w:r>
              <w:rPr>
                <w:spacing w:val="-13"/>
                <w:w w:val="115"/>
                <w:sz w:val="20"/>
              </w:rPr>
              <w:t> </w:t>
            </w:r>
            <w:r>
              <w:rPr>
                <w:w w:val="115"/>
                <w:sz w:val="20"/>
              </w:rPr>
              <w:t>2.600</w:t>
            </w:r>
            <w:r>
              <w:rPr>
                <w:spacing w:val="-12"/>
                <w:w w:val="115"/>
                <w:sz w:val="20"/>
              </w:rPr>
              <w:t> </w:t>
            </w:r>
            <w:r>
              <w:rPr>
                <w:w w:val="115"/>
                <w:sz w:val="20"/>
              </w:rPr>
              <w:t>cm3, inclusiv</w:t>
            </w:r>
          </w:p>
        </w:tc>
        <w:tc>
          <w:tcPr>
            <w:tcW w:w="3209" w:type="dxa"/>
          </w:tcPr>
          <w:p>
            <w:pPr>
              <w:pStyle w:val="TableParagraph"/>
              <w:ind w:left="113"/>
              <w:rPr>
                <w:sz w:val="20"/>
              </w:rPr>
            </w:pPr>
            <w:r>
              <w:rPr>
                <w:w w:val="115"/>
                <w:sz w:val="20"/>
              </w:rPr>
              <w:t>81</w:t>
            </w:r>
          </w:p>
        </w:tc>
      </w:tr>
      <w:tr>
        <w:trPr>
          <w:trHeight w:val="916" w:hRule="atLeast"/>
        </w:trPr>
        <w:tc>
          <w:tcPr>
            <w:tcW w:w="6571" w:type="dxa"/>
            <w:gridSpan w:val="2"/>
          </w:tcPr>
          <w:p>
            <w:pPr>
              <w:pStyle w:val="TableParagraph"/>
              <w:spacing w:line="271" w:lineRule="auto"/>
              <w:ind w:left="164" w:right="1208" w:hanging="52"/>
              <w:rPr>
                <w:sz w:val="20"/>
              </w:rPr>
            </w:pPr>
            <w:r>
              <w:rPr>
                <w:w w:val="115"/>
                <w:sz w:val="20"/>
              </w:rPr>
              <w:t>4. Autoturisme cu capacitatea cilindricã între 2.601 cm3 şi 3.000 cm3, inclusiv</w:t>
            </w:r>
          </w:p>
        </w:tc>
        <w:tc>
          <w:tcPr>
            <w:tcW w:w="3209" w:type="dxa"/>
          </w:tcPr>
          <w:p>
            <w:pPr>
              <w:pStyle w:val="TableParagraph"/>
              <w:ind w:left="113"/>
              <w:rPr>
                <w:sz w:val="20"/>
              </w:rPr>
            </w:pPr>
            <w:r>
              <w:rPr>
                <w:w w:val="115"/>
                <w:sz w:val="20"/>
              </w:rPr>
              <w:t>161</w:t>
            </w:r>
          </w:p>
        </w:tc>
      </w:tr>
      <w:tr>
        <w:trPr>
          <w:trHeight w:val="640" w:hRule="atLeast"/>
        </w:trPr>
        <w:tc>
          <w:tcPr>
            <w:tcW w:w="6571" w:type="dxa"/>
            <w:gridSpan w:val="2"/>
          </w:tcPr>
          <w:p>
            <w:pPr>
              <w:pStyle w:val="TableParagraph"/>
              <w:rPr>
                <w:sz w:val="20"/>
              </w:rPr>
            </w:pPr>
            <w:r>
              <w:rPr>
                <w:w w:val="115"/>
                <w:sz w:val="20"/>
              </w:rPr>
              <w:t>5. Autoturisme cu capacitatea cilindricã de peste 3.001 cm3</w:t>
            </w:r>
          </w:p>
        </w:tc>
        <w:tc>
          <w:tcPr>
            <w:tcW w:w="3209" w:type="dxa"/>
          </w:tcPr>
          <w:p>
            <w:pPr>
              <w:pStyle w:val="TableParagraph"/>
              <w:ind w:left="113"/>
              <w:rPr>
                <w:sz w:val="20"/>
              </w:rPr>
            </w:pPr>
            <w:r>
              <w:rPr>
                <w:w w:val="115"/>
                <w:sz w:val="20"/>
              </w:rPr>
              <w:t>325</w:t>
            </w:r>
          </w:p>
        </w:tc>
      </w:tr>
      <w:tr>
        <w:trPr>
          <w:trHeight w:val="363" w:hRule="atLeast"/>
        </w:trPr>
        <w:tc>
          <w:tcPr>
            <w:tcW w:w="6571" w:type="dxa"/>
            <w:gridSpan w:val="2"/>
          </w:tcPr>
          <w:p>
            <w:pPr>
              <w:pStyle w:val="TableParagraph"/>
              <w:rPr>
                <w:sz w:val="20"/>
              </w:rPr>
            </w:pPr>
            <w:r>
              <w:rPr>
                <w:w w:val="110"/>
                <w:sz w:val="20"/>
              </w:rPr>
              <w:t>6. Autobuze, autocare, microbuze</w:t>
            </w:r>
          </w:p>
        </w:tc>
        <w:tc>
          <w:tcPr>
            <w:tcW w:w="3209" w:type="dxa"/>
          </w:tcPr>
          <w:p>
            <w:pPr>
              <w:pStyle w:val="TableParagraph"/>
              <w:ind w:left="113"/>
              <w:rPr>
                <w:sz w:val="20"/>
              </w:rPr>
            </w:pPr>
            <w:r>
              <w:rPr>
                <w:w w:val="115"/>
                <w:sz w:val="20"/>
              </w:rPr>
              <w:t>27</w:t>
            </w:r>
          </w:p>
        </w:tc>
      </w:tr>
      <w:tr>
        <w:trPr>
          <w:trHeight w:val="885" w:hRule="atLeast"/>
        </w:trPr>
        <w:tc>
          <w:tcPr>
            <w:tcW w:w="6571" w:type="dxa"/>
            <w:gridSpan w:val="2"/>
          </w:tcPr>
          <w:p>
            <w:pPr>
              <w:pStyle w:val="TableParagraph"/>
              <w:spacing w:line="271" w:lineRule="auto"/>
              <w:rPr>
                <w:sz w:val="20"/>
              </w:rPr>
            </w:pPr>
            <w:r>
              <w:rPr>
                <w:w w:val="115"/>
                <w:sz w:val="20"/>
              </w:rPr>
              <w:t>7. Alte autovehicule cu masă totalã maximã autorizatã de pânã la 12 tone inclusiv</w:t>
            </w:r>
          </w:p>
        </w:tc>
        <w:tc>
          <w:tcPr>
            <w:tcW w:w="3209" w:type="dxa"/>
          </w:tcPr>
          <w:p>
            <w:pPr>
              <w:pStyle w:val="TableParagraph"/>
              <w:ind w:left="113"/>
              <w:rPr>
                <w:sz w:val="20"/>
              </w:rPr>
            </w:pPr>
            <w:r>
              <w:rPr>
                <w:w w:val="115"/>
                <w:sz w:val="20"/>
              </w:rPr>
              <w:t>34</w:t>
            </w:r>
          </w:p>
        </w:tc>
      </w:tr>
      <w:tr>
        <w:trPr>
          <w:trHeight w:val="363" w:hRule="atLeast"/>
        </w:trPr>
        <w:tc>
          <w:tcPr>
            <w:tcW w:w="6571" w:type="dxa"/>
            <w:gridSpan w:val="2"/>
          </w:tcPr>
          <w:p>
            <w:pPr>
              <w:pStyle w:val="TableParagraph"/>
              <w:rPr>
                <w:sz w:val="20"/>
              </w:rPr>
            </w:pPr>
            <w:r>
              <w:rPr>
                <w:w w:val="110"/>
                <w:sz w:val="20"/>
              </w:rPr>
              <w:t>8. Tractoare înmatriculate</w:t>
            </w:r>
          </w:p>
        </w:tc>
        <w:tc>
          <w:tcPr>
            <w:tcW w:w="3209" w:type="dxa"/>
          </w:tcPr>
          <w:p>
            <w:pPr>
              <w:pStyle w:val="TableParagraph"/>
              <w:ind w:left="113"/>
              <w:rPr>
                <w:sz w:val="20"/>
              </w:rPr>
            </w:pPr>
            <w:r>
              <w:rPr>
                <w:w w:val="115"/>
                <w:sz w:val="20"/>
              </w:rPr>
              <w:t>20</w:t>
            </w:r>
          </w:p>
        </w:tc>
      </w:tr>
      <w:tr>
        <w:trPr>
          <w:trHeight w:val="363" w:hRule="atLeast"/>
        </w:trPr>
        <w:tc>
          <w:tcPr>
            <w:tcW w:w="9780" w:type="dxa"/>
            <w:gridSpan w:val="3"/>
          </w:tcPr>
          <w:p>
            <w:pPr>
              <w:pStyle w:val="TableParagraph"/>
              <w:ind w:left="786"/>
              <w:rPr>
                <w:sz w:val="20"/>
              </w:rPr>
            </w:pPr>
            <w:r>
              <w:rPr>
                <w:w w:val="110"/>
                <w:sz w:val="20"/>
              </w:rPr>
              <w:t>II. VEHICULE ÎNREGISTRATE</w:t>
            </w:r>
          </w:p>
        </w:tc>
      </w:tr>
      <w:tr>
        <w:trPr>
          <w:trHeight w:val="363" w:hRule="atLeast"/>
        </w:trPr>
        <w:tc>
          <w:tcPr>
            <w:tcW w:w="6571" w:type="dxa"/>
            <w:gridSpan w:val="2"/>
          </w:tcPr>
          <w:p>
            <w:pPr>
              <w:pStyle w:val="TableParagraph"/>
              <w:rPr>
                <w:sz w:val="20"/>
              </w:rPr>
            </w:pPr>
            <w:r>
              <w:rPr>
                <w:w w:val="110"/>
                <w:sz w:val="20"/>
              </w:rPr>
              <w:t>1. Vehicule cu capacitate cilindrică</w:t>
            </w:r>
          </w:p>
        </w:tc>
        <w:tc>
          <w:tcPr>
            <w:tcW w:w="3209" w:type="dxa"/>
          </w:tcPr>
          <w:p>
            <w:pPr>
              <w:pStyle w:val="TableParagraph"/>
              <w:ind w:left="165"/>
              <w:rPr>
                <w:sz w:val="20"/>
              </w:rPr>
            </w:pPr>
            <w:r>
              <w:rPr>
                <w:w w:val="110"/>
                <w:sz w:val="20"/>
              </w:rPr>
              <w:t>lei/200 cm3</w:t>
            </w:r>
          </w:p>
        </w:tc>
      </w:tr>
      <w:tr>
        <w:trPr>
          <w:trHeight w:val="363" w:hRule="atLeast"/>
        </w:trPr>
        <w:tc>
          <w:tcPr>
            <w:tcW w:w="6341" w:type="dxa"/>
          </w:tcPr>
          <w:p>
            <w:pPr>
              <w:pStyle w:val="TableParagraph"/>
              <w:rPr>
                <w:sz w:val="20"/>
              </w:rPr>
            </w:pPr>
            <w:r>
              <w:rPr>
                <w:w w:val="115"/>
                <w:sz w:val="20"/>
              </w:rPr>
              <w:t>1.1 Vehicule inregistrate cu capacitatea cilindrica &lt; 4.800 cmc</w:t>
            </w:r>
          </w:p>
        </w:tc>
        <w:tc>
          <w:tcPr>
            <w:tcW w:w="3439" w:type="dxa"/>
            <w:gridSpan w:val="2"/>
          </w:tcPr>
          <w:p>
            <w:pPr>
              <w:pStyle w:val="TableParagraph"/>
              <w:ind w:left="113"/>
              <w:rPr>
                <w:sz w:val="20"/>
              </w:rPr>
            </w:pPr>
            <w:r>
              <w:rPr>
                <w:w w:val="112"/>
                <w:sz w:val="20"/>
              </w:rPr>
              <w:t>4</w:t>
            </w:r>
          </w:p>
        </w:tc>
      </w:tr>
      <w:tr>
        <w:trPr>
          <w:trHeight w:val="363" w:hRule="atLeast"/>
        </w:trPr>
        <w:tc>
          <w:tcPr>
            <w:tcW w:w="6341" w:type="dxa"/>
          </w:tcPr>
          <w:p>
            <w:pPr>
              <w:pStyle w:val="TableParagraph"/>
              <w:rPr>
                <w:sz w:val="20"/>
              </w:rPr>
            </w:pPr>
            <w:r>
              <w:rPr>
                <w:w w:val="115"/>
                <w:sz w:val="20"/>
              </w:rPr>
              <w:t>1.2.Vehicule inregistrate cu capacitatea cilindrica &gt; 4.800 cmc</w:t>
            </w:r>
          </w:p>
        </w:tc>
        <w:tc>
          <w:tcPr>
            <w:tcW w:w="3439" w:type="dxa"/>
            <w:gridSpan w:val="2"/>
          </w:tcPr>
          <w:p>
            <w:pPr>
              <w:pStyle w:val="TableParagraph"/>
              <w:ind w:left="113"/>
              <w:rPr>
                <w:sz w:val="20"/>
              </w:rPr>
            </w:pPr>
            <w:r>
              <w:rPr>
                <w:w w:val="112"/>
                <w:sz w:val="20"/>
              </w:rPr>
              <w:t>6</w:t>
            </w:r>
          </w:p>
        </w:tc>
      </w:tr>
      <w:tr>
        <w:trPr>
          <w:trHeight w:val="363" w:hRule="atLeast"/>
        </w:trPr>
        <w:tc>
          <w:tcPr>
            <w:tcW w:w="6341" w:type="dxa"/>
          </w:tcPr>
          <w:p>
            <w:pPr>
              <w:pStyle w:val="TableParagraph"/>
              <w:rPr>
                <w:sz w:val="20"/>
              </w:rPr>
            </w:pPr>
            <w:r>
              <w:rPr>
                <w:w w:val="110"/>
                <w:sz w:val="20"/>
              </w:rPr>
              <w:t>2. Vehicule fara capacitate cilindrica evidentiata</w:t>
            </w:r>
          </w:p>
        </w:tc>
        <w:tc>
          <w:tcPr>
            <w:tcW w:w="3439" w:type="dxa"/>
            <w:gridSpan w:val="2"/>
          </w:tcPr>
          <w:p>
            <w:pPr>
              <w:pStyle w:val="TableParagraph"/>
              <w:ind w:left="113"/>
              <w:rPr>
                <w:sz w:val="20"/>
              </w:rPr>
            </w:pPr>
            <w:r>
              <w:rPr>
                <w:w w:val="115"/>
                <w:sz w:val="20"/>
              </w:rPr>
              <w:t>114</w:t>
            </w:r>
          </w:p>
        </w:tc>
      </w:tr>
      <w:tr>
        <w:trPr>
          <w:trHeight w:val="363" w:hRule="atLeast"/>
        </w:trPr>
        <w:tc>
          <w:tcPr>
            <w:tcW w:w="6341" w:type="dxa"/>
          </w:tcPr>
          <w:p>
            <w:pPr>
              <w:pStyle w:val="TableParagraph"/>
              <w:spacing w:before="0"/>
              <w:ind w:left="0"/>
              <w:rPr>
                <w:rFonts w:ascii="Times New Roman"/>
                <w:sz w:val="18"/>
              </w:rPr>
            </w:pPr>
          </w:p>
        </w:tc>
        <w:tc>
          <w:tcPr>
            <w:tcW w:w="230" w:type="dxa"/>
          </w:tcPr>
          <w:p>
            <w:pPr>
              <w:pStyle w:val="TableParagraph"/>
              <w:spacing w:before="0"/>
              <w:ind w:left="0"/>
              <w:rPr>
                <w:rFonts w:ascii="Times New Roman"/>
                <w:sz w:val="18"/>
              </w:rPr>
            </w:pPr>
          </w:p>
        </w:tc>
        <w:tc>
          <w:tcPr>
            <w:tcW w:w="3209" w:type="dxa"/>
          </w:tcPr>
          <w:p>
            <w:pPr>
              <w:pStyle w:val="TableParagraph"/>
              <w:spacing w:before="0"/>
              <w:ind w:left="0"/>
              <w:rPr>
                <w:rFonts w:ascii="Times New Roman"/>
                <w:sz w:val="18"/>
              </w:rPr>
            </w:pPr>
          </w:p>
        </w:tc>
      </w:tr>
    </w:tbl>
    <w:p>
      <w:pPr>
        <w:pStyle w:val="BodyText"/>
        <w:spacing w:before="0"/>
        <w:ind w:left="0"/>
        <w:jc w:val="left"/>
        <w:rPr>
          <w:sz w:val="7"/>
        </w:rPr>
      </w:pPr>
    </w:p>
    <w:p>
      <w:pPr>
        <w:pStyle w:val="ListParagraph"/>
        <w:numPr>
          <w:ilvl w:val="0"/>
          <w:numId w:val="20"/>
        </w:numPr>
        <w:tabs>
          <w:tab w:pos="948" w:val="left" w:leader="none"/>
        </w:tabs>
        <w:spacing w:line="240" w:lineRule="auto" w:before="123" w:after="0"/>
        <w:ind w:left="947" w:right="0" w:hanging="218"/>
        <w:jc w:val="left"/>
        <w:rPr>
          <w:sz w:val="20"/>
        </w:rPr>
      </w:pPr>
      <w:r>
        <w:rPr>
          <w:w w:val="115"/>
          <w:sz w:val="20"/>
        </w:rPr>
        <w:t>În cazul mijloacelor de transport hibride, impozitul se reduce cu minimum</w:t>
      </w:r>
      <w:r>
        <w:rPr>
          <w:spacing w:val="-27"/>
          <w:w w:val="115"/>
          <w:sz w:val="20"/>
        </w:rPr>
        <w:t> </w:t>
      </w:r>
      <w:r>
        <w:rPr>
          <w:w w:val="115"/>
          <w:sz w:val="20"/>
        </w:rPr>
        <w:t>50%.</w:t>
      </w:r>
    </w:p>
    <w:p>
      <w:pPr>
        <w:pStyle w:val="ListParagraph"/>
        <w:numPr>
          <w:ilvl w:val="0"/>
          <w:numId w:val="20"/>
        </w:numPr>
        <w:tabs>
          <w:tab w:pos="1421" w:val="left" w:leader="none"/>
        </w:tabs>
        <w:spacing w:line="271" w:lineRule="auto" w:before="140" w:after="0"/>
        <w:ind w:left="108" w:right="113" w:firstLine="1057"/>
        <w:jc w:val="left"/>
        <w:rPr>
          <w:sz w:val="20"/>
        </w:rPr>
      </w:pPr>
      <w:r>
        <w:rPr>
          <w:w w:val="115"/>
          <w:sz w:val="20"/>
        </w:rPr>
        <w:t>În cazul unui ataş, impozitul pe mijlocul de transport este de 50% din impozitul pentru motocicletele</w:t>
      </w:r>
      <w:r>
        <w:rPr>
          <w:spacing w:val="-2"/>
          <w:w w:val="115"/>
          <w:sz w:val="20"/>
        </w:rPr>
        <w:t> </w:t>
      </w:r>
      <w:r>
        <w:rPr>
          <w:w w:val="115"/>
          <w:sz w:val="20"/>
        </w:rPr>
        <w:t>respective.</w:t>
      </w:r>
    </w:p>
    <w:p>
      <w:pPr>
        <w:spacing w:after="0" w:line="271" w:lineRule="auto"/>
        <w:jc w:val="left"/>
        <w:rPr>
          <w:sz w:val="20"/>
        </w:rPr>
        <w:sectPr>
          <w:pgSz w:w="11900" w:h="16840"/>
          <w:pgMar w:header="0" w:footer="280" w:top="500" w:bottom="560" w:left="1140" w:right="740"/>
        </w:sectPr>
      </w:pPr>
    </w:p>
    <w:p>
      <w:pPr>
        <w:pStyle w:val="ListParagraph"/>
        <w:numPr>
          <w:ilvl w:val="0"/>
          <w:numId w:val="20"/>
        </w:numPr>
        <w:tabs>
          <w:tab w:pos="1076" w:val="left" w:leader="none"/>
        </w:tabs>
        <w:spacing w:line="271" w:lineRule="auto" w:before="100" w:after="0"/>
        <w:ind w:left="108" w:right="117" w:firstLine="739"/>
        <w:jc w:val="both"/>
        <w:rPr>
          <w:sz w:val="20"/>
        </w:rPr>
      </w:pPr>
      <w:r>
        <w:rPr>
          <w:w w:val="115"/>
          <w:sz w:val="20"/>
        </w:rPr>
        <w:t>În cazul unui autovehicul de transport de marfă cu masa totală autorizată egală sau mai mare de 12 tone, impozitul pe mijloacele de transport este egal cu suma corespunzătoare prevăzută în tabelul următor:</w:t>
      </w:r>
    </w:p>
    <w:p>
      <w:pPr>
        <w:pStyle w:val="BodyText"/>
        <w:spacing w:before="0"/>
        <w:ind w:left="0"/>
        <w:jc w:val="left"/>
      </w:pPr>
    </w:p>
    <w:p>
      <w:pPr>
        <w:pStyle w:val="BodyText"/>
        <w:spacing w:before="8"/>
        <w:ind w:left="0"/>
        <w:jc w:val="left"/>
        <w:rPr>
          <w:sz w:val="24"/>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5650"/>
        <w:gridCol w:w="1735"/>
        <w:gridCol w:w="322"/>
        <w:gridCol w:w="2072"/>
      </w:tblGrid>
      <w:tr>
        <w:trPr>
          <w:trHeight w:val="363" w:hRule="atLeast"/>
        </w:trPr>
        <w:tc>
          <w:tcPr>
            <w:tcW w:w="5650" w:type="dxa"/>
            <w:vMerge w:val="restart"/>
          </w:tcPr>
          <w:p>
            <w:pPr>
              <w:pStyle w:val="TableParagraph"/>
              <w:spacing w:line="271" w:lineRule="auto"/>
              <w:rPr>
                <w:sz w:val="20"/>
              </w:rPr>
            </w:pPr>
            <w:r>
              <w:rPr>
                <w:w w:val="115"/>
                <w:sz w:val="20"/>
              </w:rPr>
              <w:t>Numărul de axe şi greutatea brută încărcată maximă admisă</w:t>
            </w:r>
          </w:p>
        </w:tc>
        <w:tc>
          <w:tcPr>
            <w:tcW w:w="4129" w:type="dxa"/>
            <w:gridSpan w:val="3"/>
          </w:tcPr>
          <w:p>
            <w:pPr>
              <w:pStyle w:val="TableParagraph"/>
              <w:ind w:left="113"/>
              <w:rPr>
                <w:sz w:val="20"/>
              </w:rPr>
            </w:pPr>
            <w:r>
              <w:rPr>
                <w:w w:val="110"/>
                <w:sz w:val="20"/>
              </w:rPr>
              <w:t>Impozit (lei/an)</w:t>
            </w:r>
          </w:p>
        </w:tc>
      </w:tr>
      <w:tr>
        <w:trPr>
          <w:trHeight w:val="1745" w:hRule="atLeast"/>
        </w:trPr>
        <w:tc>
          <w:tcPr>
            <w:tcW w:w="5650" w:type="dxa"/>
            <w:vMerge/>
            <w:tcBorders>
              <w:top w:val="nil"/>
            </w:tcBorders>
          </w:tcPr>
          <w:p>
            <w:pPr>
              <w:rPr>
                <w:sz w:val="2"/>
                <w:szCs w:val="2"/>
              </w:rPr>
            </w:pPr>
          </w:p>
        </w:tc>
        <w:tc>
          <w:tcPr>
            <w:tcW w:w="2057" w:type="dxa"/>
            <w:gridSpan w:val="2"/>
          </w:tcPr>
          <w:p>
            <w:pPr>
              <w:pStyle w:val="TableParagraph"/>
              <w:spacing w:line="271" w:lineRule="auto"/>
              <w:ind w:left="113" w:right="422"/>
              <w:rPr>
                <w:sz w:val="20"/>
              </w:rPr>
            </w:pPr>
            <w:r>
              <w:rPr>
                <w:w w:val="115"/>
                <w:sz w:val="20"/>
              </w:rPr>
              <w:t>Vehicule cu sistem de suspensie pneumatică sau un echivalent recunoscut</w:t>
            </w:r>
          </w:p>
        </w:tc>
        <w:tc>
          <w:tcPr>
            <w:tcW w:w="2072" w:type="dxa"/>
          </w:tcPr>
          <w:p>
            <w:pPr>
              <w:pStyle w:val="TableParagraph"/>
              <w:spacing w:line="271" w:lineRule="auto"/>
              <w:ind w:left="113" w:right="149"/>
              <w:rPr>
                <w:sz w:val="20"/>
              </w:rPr>
            </w:pPr>
            <w:r>
              <w:rPr>
                <w:w w:val="115"/>
                <w:sz w:val="20"/>
              </w:rPr>
              <w:t>Vehicule cu alt sistem de suspensie</w:t>
            </w:r>
          </w:p>
          <w:p>
            <w:pPr>
              <w:pStyle w:val="TableParagraph"/>
              <w:tabs>
                <w:tab w:pos="1288" w:val="left" w:leader="none"/>
              </w:tabs>
              <w:spacing w:line="271" w:lineRule="auto" w:before="1"/>
              <w:ind w:left="113" w:right="87"/>
              <w:rPr>
                <w:sz w:val="20"/>
              </w:rPr>
            </w:pPr>
            <w:r>
              <w:rPr>
                <w:w w:val="115"/>
                <w:sz w:val="20"/>
              </w:rPr>
              <w:t>pentru</w:t>
              <w:tab/>
            </w:r>
            <w:r>
              <w:rPr>
                <w:spacing w:val="-4"/>
                <w:w w:val="115"/>
                <w:sz w:val="20"/>
              </w:rPr>
              <w:t>maxele </w:t>
            </w:r>
            <w:r>
              <w:rPr>
                <w:w w:val="115"/>
                <w:sz w:val="20"/>
              </w:rPr>
              <w:t>motoare</w:t>
            </w:r>
          </w:p>
        </w:tc>
      </w:tr>
      <w:tr>
        <w:trPr>
          <w:trHeight w:val="363" w:hRule="atLeast"/>
        </w:trPr>
        <w:tc>
          <w:tcPr>
            <w:tcW w:w="9779" w:type="dxa"/>
            <w:gridSpan w:val="4"/>
          </w:tcPr>
          <w:p>
            <w:pPr>
              <w:pStyle w:val="TableParagraph"/>
              <w:spacing w:before="71"/>
              <w:rPr>
                <w:rFonts w:ascii="Arial"/>
                <w:b/>
                <w:sz w:val="20"/>
              </w:rPr>
            </w:pPr>
            <w:r>
              <w:rPr>
                <w:rFonts w:ascii="Arial"/>
                <w:b/>
                <w:sz w:val="20"/>
              </w:rPr>
              <w:t>I. VEHICULE CU 2 AXE</w:t>
            </w:r>
          </w:p>
        </w:tc>
      </w:tr>
      <w:tr>
        <w:trPr>
          <w:trHeight w:val="363" w:hRule="atLeast"/>
        </w:trPr>
        <w:tc>
          <w:tcPr>
            <w:tcW w:w="5650" w:type="dxa"/>
          </w:tcPr>
          <w:p>
            <w:pPr>
              <w:pStyle w:val="TableParagraph"/>
              <w:rPr>
                <w:sz w:val="20"/>
              </w:rPr>
            </w:pPr>
            <w:r>
              <w:rPr>
                <w:w w:val="115"/>
                <w:sz w:val="20"/>
              </w:rPr>
              <w:t>1.Masa de cel puţin 12 tone, dar mai mică de 13 tone</w:t>
            </w:r>
          </w:p>
        </w:tc>
        <w:tc>
          <w:tcPr>
            <w:tcW w:w="2057" w:type="dxa"/>
            <w:gridSpan w:val="2"/>
          </w:tcPr>
          <w:p>
            <w:pPr>
              <w:pStyle w:val="TableParagraph"/>
              <w:ind w:left="113"/>
              <w:rPr>
                <w:sz w:val="20"/>
              </w:rPr>
            </w:pPr>
            <w:r>
              <w:rPr>
                <w:w w:val="112"/>
                <w:sz w:val="20"/>
              </w:rPr>
              <w:t>0</w:t>
            </w:r>
          </w:p>
        </w:tc>
        <w:tc>
          <w:tcPr>
            <w:tcW w:w="2072" w:type="dxa"/>
          </w:tcPr>
          <w:p>
            <w:pPr>
              <w:pStyle w:val="TableParagraph"/>
              <w:ind w:left="113"/>
              <w:rPr>
                <w:sz w:val="20"/>
              </w:rPr>
            </w:pPr>
            <w:r>
              <w:rPr>
                <w:w w:val="115"/>
                <w:sz w:val="20"/>
              </w:rPr>
              <w:t>159</w:t>
            </w:r>
          </w:p>
        </w:tc>
      </w:tr>
      <w:tr>
        <w:trPr>
          <w:trHeight w:val="363" w:hRule="atLeast"/>
        </w:trPr>
        <w:tc>
          <w:tcPr>
            <w:tcW w:w="5650" w:type="dxa"/>
          </w:tcPr>
          <w:p>
            <w:pPr>
              <w:pStyle w:val="TableParagraph"/>
              <w:rPr>
                <w:sz w:val="20"/>
              </w:rPr>
            </w:pPr>
            <w:r>
              <w:rPr>
                <w:w w:val="115"/>
                <w:sz w:val="20"/>
              </w:rPr>
              <w:t>2.Masa de cel puţin 13 tone, dar mai mică de 14 tone</w:t>
            </w:r>
          </w:p>
        </w:tc>
        <w:tc>
          <w:tcPr>
            <w:tcW w:w="2057" w:type="dxa"/>
            <w:gridSpan w:val="2"/>
          </w:tcPr>
          <w:p>
            <w:pPr>
              <w:pStyle w:val="TableParagraph"/>
              <w:ind w:left="113"/>
              <w:rPr>
                <w:sz w:val="20"/>
              </w:rPr>
            </w:pPr>
            <w:r>
              <w:rPr>
                <w:w w:val="115"/>
                <w:sz w:val="20"/>
              </w:rPr>
              <w:t>151</w:t>
            </w:r>
          </w:p>
        </w:tc>
        <w:tc>
          <w:tcPr>
            <w:tcW w:w="2072" w:type="dxa"/>
          </w:tcPr>
          <w:p>
            <w:pPr>
              <w:pStyle w:val="TableParagraph"/>
              <w:ind w:left="113"/>
              <w:rPr>
                <w:sz w:val="20"/>
              </w:rPr>
            </w:pPr>
            <w:r>
              <w:rPr>
                <w:w w:val="115"/>
                <w:sz w:val="20"/>
              </w:rPr>
              <w:t>442</w:t>
            </w:r>
          </w:p>
        </w:tc>
      </w:tr>
      <w:tr>
        <w:trPr>
          <w:trHeight w:val="363" w:hRule="atLeast"/>
        </w:trPr>
        <w:tc>
          <w:tcPr>
            <w:tcW w:w="5650" w:type="dxa"/>
          </w:tcPr>
          <w:p>
            <w:pPr>
              <w:pStyle w:val="TableParagraph"/>
              <w:rPr>
                <w:sz w:val="20"/>
              </w:rPr>
            </w:pPr>
            <w:r>
              <w:rPr>
                <w:w w:val="115"/>
                <w:sz w:val="20"/>
              </w:rPr>
              <w:t>3. Masa de cel puţin 14 tone, dar mai mică de 15 tone</w:t>
            </w:r>
          </w:p>
        </w:tc>
        <w:tc>
          <w:tcPr>
            <w:tcW w:w="2057" w:type="dxa"/>
            <w:gridSpan w:val="2"/>
          </w:tcPr>
          <w:p>
            <w:pPr>
              <w:pStyle w:val="TableParagraph"/>
              <w:ind w:left="113"/>
              <w:rPr>
                <w:sz w:val="20"/>
              </w:rPr>
            </w:pPr>
            <w:r>
              <w:rPr>
                <w:w w:val="115"/>
                <w:sz w:val="20"/>
              </w:rPr>
              <w:t>421</w:t>
            </w:r>
          </w:p>
        </w:tc>
        <w:tc>
          <w:tcPr>
            <w:tcW w:w="2072" w:type="dxa"/>
          </w:tcPr>
          <w:p>
            <w:pPr>
              <w:pStyle w:val="TableParagraph"/>
              <w:ind w:left="113"/>
              <w:rPr>
                <w:sz w:val="20"/>
              </w:rPr>
            </w:pPr>
            <w:r>
              <w:rPr>
                <w:w w:val="115"/>
                <w:sz w:val="20"/>
              </w:rPr>
              <w:t>621</w:t>
            </w:r>
          </w:p>
        </w:tc>
      </w:tr>
      <w:tr>
        <w:trPr>
          <w:trHeight w:val="363" w:hRule="atLeast"/>
        </w:trPr>
        <w:tc>
          <w:tcPr>
            <w:tcW w:w="5650" w:type="dxa"/>
          </w:tcPr>
          <w:p>
            <w:pPr>
              <w:pStyle w:val="TableParagraph"/>
              <w:rPr>
                <w:sz w:val="20"/>
              </w:rPr>
            </w:pPr>
            <w:r>
              <w:rPr>
                <w:w w:val="115"/>
                <w:sz w:val="20"/>
              </w:rPr>
              <w:t>4. Masa de cel puţin 15 tone, dar mai mică de 18 tone</w:t>
            </w:r>
          </w:p>
        </w:tc>
        <w:tc>
          <w:tcPr>
            <w:tcW w:w="2057" w:type="dxa"/>
            <w:gridSpan w:val="2"/>
          </w:tcPr>
          <w:p>
            <w:pPr>
              <w:pStyle w:val="TableParagraph"/>
              <w:ind w:left="113"/>
              <w:rPr>
                <w:sz w:val="20"/>
              </w:rPr>
            </w:pPr>
            <w:r>
              <w:rPr>
                <w:w w:val="115"/>
                <w:sz w:val="20"/>
              </w:rPr>
              <w:t>591</w:t>
            </w:r>
          </w:p>
        </w:tc>
        <w:tc>
          <w:tcPr>
            <w:tcW w:w="2072" w:type="dxa"/>
          </w:tcPr>
          <w:p>
            <w:pPr>
              <w:pStyle w:val="TableParagraph"/>
              <w:ind w:left="113"/>
              <w:rPr>
                <w:sz w:val="20"/>
              </w:rPr>
            </w:pPr>
            <w:r>
              <w:rPr>
                <w:w w:val="110"/>
                <w:sz w:val="20"/>
              </w:rPr>
              <w:t>1.407</w:t>
            </w:r>
          </w:p>
        </w:tc>
      </w:tr>
      <w:tr>
        <w:trPr>
          <w:trHeight w:val="363" w:hRule="atLeast"/>
        </w:trPr>
        <w:tc>
          <w:tcPr>
            <w:tcW w:w="5650" w:type="dxa"/>
          </w:tcPr>
          <w:p>
            <w:pPr>
              <w:pStyle w:val="TableParagraph"/>
              <w:rPr>
                <w:sz w:val="20"/>
              </w:rPr>
            </w:pPr>
            <w:r>
              <w:rPr>
                <w:w w:val="110"/>
                <w:sz w:val="20"/>
              </w:rPr>
              <w:t>5. Masa de cel puţin 18 tone</w:t>
            </w:r>
          </w:p>
        </w:tc>
        <w:tc>
          <w:tcPr>
            <w:tcW w:w="2057" w:type="dxa"/>
            <w:gridSpan w:val="2"/>
          </w:tcPr>
          <w:p>
            <w:pPr>
              <w:pStyle w:val="TableParagraph"/>
              <w:ind w:left="113"/>
              <w:rPr>
                <w:sz w:val="20"/>
              </w:rPr>
            </w:pPr>
            <w:r>
              <w:rPr>
                <w:w w:val="115"/>
                <w:sz w:val="20"/>
              </w:rPr>
              <w:t>591</w:t>
            </w:r>
          </w:p>
        </w:tc>
        <w:tc>
          <w:tcPr>
            <w:tcW w:w="2072" w:type="dxa"/>
          </w:tcPr>
          <w:p>
            <w:pPr>
              <w:pStyle w:val="TableParagraph"/>
              <w:ind w:left="113"/>
              <w:rPr>
                <w:sz w:val="20"/>
              </w:rPr>
            </w:pPr>
            <w:r>
              <w:rPr>
                <w:w w:val="110"/>
                <w:sz w:val="20"/>
              </w:rPr>
              <w:t>1.407</w:t>
            </w:r>
          </w:p>
        </w:tc>
      </w:tr>
      <w:tr>
        <w:trPr>
          <w:trHeight w:val="363" w:hRule="atLeast"/>
        </w:trPr>
        <w:tc>
          <w:tcPr>
            <w:tcW w:w="9779" w:type="dxa"/>
            <w:gridSpan w:val="4"/>
          </w:tcPr>
          <w:p>
            <w:pPr>
              <w:pStyle w:val="TableParagraph"/>
              <w:rPr>
                <w:rFonts w:ascii="Arial"/>
                <w:b/>
                <w:sz w:val="20"/>
              </w:rPr>
            </w:pPr>
            <w:r>
              <w:rPr>
                <w:rFonts w:ascii="Arial"/>
                <w:b/>
                <w:sz w:val="20"/>
              </w:rPr>
              <w:t>II</w:t>
            </w:r>
            <w:r>
              <w:rPr>
                <w:sz w:val="20"/>
              </w:rPr>
              <w:t>. </w:t>
            </w:r>
            <w:r>
              <w:rPr>
                <w:rFonts w:ascii="Arial"/>
                <w:b/>
                <w:sz w:val="20"/>
              </w:rPr>
              <w:t>VEHICULE CU 3 AXE</w:t>
            </w:r>
          </w:p>
        </w:tc>
      </w:tr>
      <w:tr>
        <w:trPr>
          <w:trHeight w:val="363" w:hRule="atLeast"/>
        </w:trPr>
        <w:tc>
          <w:tcPr>
            <w:tcW w:w="5650" w:type="dxa"/>
          </w:tcPr>
          <w:p>
            <w:pPr>
              <w:pStyle w:val="TableParagraph"/>
              <w:rPr>
                <w:sz w:val="20"/>
              </w:rPr>
            </w:pPr>
            <w:r>
              <w:rPr>
                <w:w w:val="115"/>
                <w:sz w:val="20"/>
              </w:rPr>
              <w:t>1. Masa de cel puţin 15 tone, dar mai mică de 17 tone</w:t>
            </w:r>
          </w:p>
        </w:tc>
        <w:tc>
          <w:tcPr>
            <w:tcW w:w="2057" w:type="dxa"/>
            <w:gridSpan w:val="2"/>
          </w:tcPr>
          <w:p>
            <w:pPr>
              <w:pStyle w:val="TableParagraph"/>
              <w:ind w:left="113"/>
              <w:rPr>
                <w:sz w:val="20"/>
              </w:rPr>
            </w:pPr>
            <w:r>
              <w:rPr>
                <w:w w:val="115"/>
                <w:sz w:val="20"/>
              </w:rPr>
              <w:t>151</w:t>
            </w:r>
          </w:p>
        </w:tc>
        <w:tc>
          <w:tcPr>
            <w:tcW w:w="2072" w:type="dxa"/>
          </w:tcPr>
          <w:p>
            <w:pPr>
              <w:pStyle w:val="TableParagraph"/>
              <w:ind w:left="113"/>
              <w:rPr>
                <w:sz w:val="20"/>
              </w:rPr>
            </w:pPr>
            <w:r>
              <w:rPr>
                <w:w w:val="115"/>
                <w:sz w:val="20"/>
              </w:rPr>
              <w:t>277</w:t>
            </w:r>
          </w:p>
        </w:tc>
      </w:tr>
      <w:tr>
        <w:trPr>
          <w:trHeight w:val="363" w:hRule="atLeast"/>
        </w:trPr>
        <w:tc>
          <w:tcPr>
            <w:tcW w:w="5650" w:type="dxa"/>
          </w:tcPr>
          <w:p>
            <w:pPr>
              <w:pStyle w:val="TableParagraph"/>
              <w:rPr>
                <w:sz w:val="20"/>
              </w:rPr>
            </w:pPr>
            <w:r>
              <w:rPr>
                <w:w w:val="115"/>
                <w:sz w:val="20"/>
              </w:rPr>
              <w:t>2. Masa de cel puţin 17 tone, dar mai mică de 19 tone</w:t>
            </w:r>
          </w:p>
        </w:tc>
        <w:tc>
          <w:tcPr>
            <w:tcW w:w="2057" w:type="dxa"/>
            <w:gridSpan w:val="2"/>
          </w:tcPr>
          <w:p>
            <w:pPr>
              <w:pStyle w:val="TableParagraph"/>
              <w:ind w:left="113"/>
              <w:rPr>
                <w:sz w:val="20"/>
              </w:rPr>
            </w:pPr>
            <w:r>
              <w:rPr>
                <w:w w:val="115"/>
                <w:sz w:val="20"/>
              </w:rPr>
              <w:t>264</w:t>
            </w:r>
          </w:p>
        </w:tc>
        <w:tc>
          <w:tcPr>
            <w:tcW w:w="2072" w:type="dxa"/>
          </w:tcPr>
          <w:p>
            <w:pPr>
              <w:pStyle w:val="TableParagraph"/>
              <w:ind w:left="113"/>
              <w:rPr>
                <w:sz w:val="20"/>
              </w:rPr>
            </w:pPr>
            <w:r>
              <w:rPr>
                <w:w w:val="115"/>
                <w:sz w:val="20"/>
              </w:rPr>
              <w:t>570</w:t>
            </w:r>
          </w:p>
        </w:tc>
      </w:tr>
      <w:tr>
        <w:trPr>
          <w:trHeight w:val="363" w:hRule="atLeast"/>
        </w:trPr>
        <w:tc>
          <w:tcPr>
            <w:tcW w:w="5650" w:type="dxa"/>
          </w:tcPr>
          <w:p>
            <w:pPr>
              <w:pStyle w:val="TableParagraph"/>
              <w:rPr>
                <w:sz w:val="20"/>
              </w:rPr>
            </w:pPr>
            <w:r>
              <w:rPr>
                <w:w w:val="115"/>
                <w:sz w:val="20"/>
              </w:rPr>
              <w:t>3. Masa de cel puţin 19 tone, dar mai mică de 21 tone</w:t>
            </w:r>
          </w:p>
        </w:tc>
        <w:tc>
          <w:tcPr>
            <w:tcW w:w="2057" w:type="dxa"/>
            <w:gridSpan w:val="2"/>
          </w:tcPr>
          <w:p>
            <w:pPr>
              <w:pStyle w:val="TableParagraph"/>
              <w:ind w:left="113"/>
              <w:rPr>
                <w:sz w:val="20"/>
              </w:rPr>
            </w:pPr>
            <w:r>
              <w:rPr>
                <w:w w:val="115"/>
                <w:sz w:val="20"/>
              </w:rPr>
              <w:t>542</w:t>
            </w:r>
          </w:p>
        </w:tc>
        <w:tc>
          <w:tcPr>
            <w:tcW w:w="2072" w:type="dxa"/>
          </w:tcPr>
          <w:p>
            <w:pPr>
              <w:pStyle w:val="TableParagraph"/>
              <w:ind w:left="113"/>
              <w:rPr>
                <w:sz w:val="20"/>
              </w:rPr>
            </w:pPr>
            <w:r>
              <w:rPr>
                <w:w w:val="115"/>
                <w:sz w:val="20"/>
              </w:rPr>
              <w:t>740</w:t>
            </w:r>
          </w:p>
        </w:tc>
      </w:tr>
      <w:tr>
        <w:trPr>
          <w:trHeight w:val="363" w:hRule="atLeast"/>
        </w:trPr>
        <w:tc>
          <w:tcPr>
            <w:tcW w:w="5650" w:type="dxa"/>
          </w:tcPr>
          <w:p>
            <w:pPr>
              <w:pStyle w:val="TableParagraph"/>
              <w:rPr>
                <w:sz w:val="20"/>
              </w:rPr>
            </w:pPr>
            <w:r>
              <w:rPr>
                <w:w w:val="115"/>
                <w:sz w:val="20"/>
              </w:rPr>
              <w:t>4. Masa de cel puţin 21 tone, dar mai mică de 23 tone</w:t>
            </w:r>
          </w:p>
        </w:tc>
        <w:tc>
          <w:tcPr>
            <w:tcW w:w="2057" w:type="dxa"/>
            <w:gridSpan w:val="2"/>
          </w:tcPr>
          <w:p>
            <w:pPr>
              <w:pStyle w:val="TableParagraph"/>
              <w:ind w:left="113"/>
              <w:rPr>
                <w:sz w:val="20"/>
              </w:rPr>
            </w:pPr>
            <w:r>
              <w:rPr>
                <w:w w:val="115"/>
                <w:sz w:val="20"/>
              </w:rPr>
              <w:t>704</w:t>
            </w:r>
          </w:p>
        </w:tc>
        <w:tc>
          <w:tcPr>
            <w:tcW w:w="2072" w:type="dxa"/>
          </w:tcPr>
          <w:p>
            <w:pPr>
              <w:pStyle w:val="TableParagraph"/>
              <w:ind w:left="113"/>
              <w:rPr>
                <w:sz w:val="20"/>
              </w:rPr>
            </w:pPr>
            <w:r>
              <w:rPr>
                <w:w w:val="110"/>
                <w:sz w:val="20"/>
              </w:rPr>
              <w:t>1.141</w:t>
            </w:r>
          </w:p>
        </w:tc>
      </w:tr>
      <w:tr>
        <w:trPr>
          <w:trHeight w:val="363" w:hRule="atLeast"/>
        </w:trPr>
        <w:tc>
          <w:tcPr>
            <w:tcW w:w="5650" w:type="dxa"/>
          </w:tcPr>
          <w:p>
            <w:pPr>
              <w:pStyle w:val="TableParagraph"/>
              <w:rPr>
                <w:sz w:val="20"/>
              </w:rPr>
            </w:pPr>
            <w:r>
              <w:rPr>
                <w:w w:val="115"/>
                <w:sz w:val="20"/>
              </w:rPr>
              <w:t>5. Masa de cel puţin 23 tone, dar mai mică de 25 tone</w:t>
            </w:r>
          </w:p>
        </w:tc>
        <w:tc>
          <w:tcPr>
            <w:tcW w:w="2057" w:type="dxa"/>
            <w:gridSpan w:val="2"/>
          </w:tcPr>
          <w:p>
            <w:pPr>
              <w:pStyle w:val="TableParagraph"/>
              <w:ind w:left="113"/>
              <w:rPr>
                <w:sz w:val="20"/>
              </w:rPr>
            </w:pPr>
            <w:r>
              <w:rPr>
                <w:w w:val="110"/>
                <w:sz w:val="20"/>
              </w:rPr>
              <w:t>1.086</w:t>
            </w:r>
          </w:p>
        </w:tc>
        <w:tc>
          <w:tcPr>
            <w:tcW w:w="2072" w:type="dxa"/>
          </w:tcPr>
          <w:p>
            <w:pPr>
              <w:pStyle w:val="TableParagraph"/>
              <w:ind w:left="113"/>
              <w:rPr>
                <w:sz w:val="20"/>
              </w:rPr>
            </w:pPr>
            <w:r>
              <w:rPr>
                <w:w w:val="110"/>
                <w:sz w:val="20"/>
              </w:rPr>
              <w:t>1.772</w:t>
            </w:r>
          </w:p>
        </w:tc>
      </w:tr>
      <w:tr>
        <w:trPr>
          <w:trHeight w:val="363" w:hRule="atLeast"/>
        </w:trPr>
        <w:tc>
          <w:tcPr>
            <w:tcW w:w="5650" w:type="dxa"/>
          </w:tcPr>
          <w:p>
            <w:pPr>
              <w:pStyle w:val="TableParagraph"/>
              <w:rPr>
                <w:sz w:val="20"/>
              </w:rPr>
            </w:pPr>
            <w:r>
              <w:rPr>
                <w:w w:val="115"/>
                <w:sz w:val="20"/>
              </w:rPr>
              <w:t>6. Masa de cel puţin 25 tone, dar mai mică de 26 tone</w:t>
            </w:r>
          </w:p>
        </w:tc>
        <w:tc>
          <w:tcPr>
            <w:tcW w:w="2057" w:type="dxa"/>
            <w:gridSpan w:val="2"/>
          </w:tcPr>
          <w:p>
            <w:pPr>
              <w:pStyle w:val="TableParagraph"/>
              <w:ind w:left="113"/>
              <w:rPr>
                <w:sz w:val="20"/>
              </w:rPr>
            </w:pPr>
            <w:r>
              <w:rPr>
                <w:w w:val="110"/>
                <w:sz w:val="20"/>
              </w:rPr>
              <w:t>1.086</w:t>
            </w:r>
          </w:p>
        </w:tc>
        <w:tc>
          <w:tcPr>
            <w:tcW w:w="2072" w:type="dxa"/>
          </w:tcPr>
          <w:p>
            <w:pPr>
              <w:pStyle w:val="TableParagraph"/>
              <w:ind w:left="113"/>
              <w:rPr>
                <w:sz w:val="20"/>
              </w:rPr>
            </w:pPr>
            <w:r>
              <w:rPr>
                <w:w w:val="110"/>
                <w:sz w:val="20"/>
              </w:rPr>
              <w:t>1.772</w:t>
            </w:r>
          </w:p>
        </w:tc>
      </w:tr>
      <w:tr>
        <w:trPr>
          <w:trHeight w:val="363" w:hRule="atLeast"/>
        </w:trPr>
        <w:tc>
          <w:tcPr>
            <w:tcW w:w="5650" w:type="dxa"/>
          </w:tcPr>
          <w:p>
            <w:pPr>
              <w:pStyle w:val="TableParagraph"/>
              <w:rPr>
                <w:sz w:val="20"/>
              </w:rPr>
            </w:pPr>
            <w:r>
              <w:rPr>
                <w:w w:val="110"/>
                <w:sz w:val="20"/>
              </w:rPr>
              <w:t>7. Masa de cel puţin 26 tone</w:t>
            </w:r>
          </w:p>
        </w:tc>
        <w:tc>
          <w:tcPr>
            <w:tcW w:w="2057" w:type="dxa"/>
            <w:gridSpan w:val="2"/>
          </w:tcPr>
          <w:p>
            <w:pPr>
              <w:pStyle w:val="TableParagraph"/>
              <w:ind w:left="113"/>
              <w:rPr>
                <w:sz w:val="20"/>
              </w:rPr>
            </w:pPr>
            <w:r>
              <w:rPr>
                <w:w w:val="110"/>
                <w:sz w:val="20"/>
              </w:rPr>
              <w:t>1.086</w:t>
            </w:r>
          </w:p>
        </w:tc>
        <w:tc>
          <w:tcPr>
            <w:tcW w:w="2072" w:type="dxa"/>
          </w:tcPr>
          <w:p>
            <w:pPr>
              <w:pStyle w:val="TableParagraph"/>
              <w:ind w:left="113"/>
              <w:rPr>
                <w:sz w:val="20"/>
              </w:rPr>
            </w:pPr>
            <w:r>
              <w:rPr>
                <w:w w:val="110"/>
                <w:sz w:val="20"/>
              </w:rPr>
              <w:t>1.772</w:t>
            </w:r>
          </w:p>
        </w:tc>
      </w:tr>
      <w:tr>
        <w:trPr>
          <w:trHeight w:val="363" w:hRule="atLeast"/>
        </w:trPr>
        <w:tc>
          <w:tcPr>
            <w:tcW w:w="9779" w:type="dxa"/>
            <w:gridSpan w:val="4"/>
          </w:tcPr>
          <w:p>
            <w:pPr>
              <w:pStyle w:val="TableParagraph"/>
              <w:spacing w:before="71"/>
              <w:rPr>
                <w:rFonts w:ascii="Arial"/>
                <w:b/>
                <w:sz w:val="20"/>
              </w:rPr>
            </w:pPr>
            <w:r>
              <w:rPr>
                <w:rFonts w:ascii="Arial"/>
                <w:b/>
                <w:sz w:val="20"/>
              </w:rPr>
              <w:t>III VEHICULE CU 4 AXE</w:t>
            </w:r>
          </w:p>
        </w:tc>
      </w:tr>
      <w:tr>
        <w:trPr>
          <w:trHeight w:val="363" w:hRule="atLeast"/>
        </w:trPr>
        <w:tc>
          <w:tcPr>
            <w:tcW w:w="5650" w:type="dxa"/>
          </w:tcPr>
          <w:p>
            <w:pPr>
              <w:pStyle w:val="TableParagraph"/>
              <w:rPr>
                <w:sz w:val="20"/>
              </w:rPr>
            </w:pPr>
            <w:r>
              <w:rPr>
                <w:w w:val="115"/>
                <w:sz w:val="20"/>
              </w:rPr>
              <w:t>1.Masa de cel puţin 23 tone, dar mai mică de 25 tone</w:t>
            </w:r>
          </w:p>
        </w:tc>
        <w:tc>
          <w:tcPr>
            <w:tcW w:w="1735" w:type="dxa"/>
          </w:tcPr>
          <w:p>
            <w:pPr>
              <w:pStyle w:val="TableParagraph"/>
              <w:ind w:left="113"/>
              <w:rPr>
                <w:sz w:val="20"/>
              </w:rPr>
            </w:pPr>
            <w:r>
              <w:rPr>
                <w:w w:val="115"/>
                <w:sz w:val="20"/>
              </w:rPr>
              <w:t>704</w:t>
            </w:r>
          </w:p>
        </w:tc>
        <w:tc>
          <w:tcPr>
            <w:tcW w:w="2394" w:type="dxa"/>
            <w:gridSpan w:val="2"/>
          </w:tcPr>
          <w:p>
            <w:pPr>
              <w:pStyle w:val="TableParagraph"/>
              <w:ind w:left="113"/>
              <w:rPr>
                <w:sz w:val="20"/>
              </w:rPr>
            </w:pPr>
            <w:r>
              <w:rPr>
                <w:w w:val="115"/>
                <w:sz w:val="20"/>
              </w:rPr>
              <w:t>749</w:t>
            </w:r>
          </w:p>
        </w:tc>
      </w:tr>
      <w:tr>
        <w:trPr>
          <w:trHeight w:val="363" w:hRule="atLeast"/>
        </w:trPr>
        <w:tc>
          <w:tcPr>
            <w:tcW w:w="5650" w:type="dxa"/>
          </w:tcPr>
          <w:p>
            <w:pPr>
              <w:pStyle w:val="TableParagraph"/>
              <w:rPr>
                <w:sz w:val="20"/>
              </w:rPr>
            </w:pPr>
            <w:r>
              <w:rPr>
                <w:w w:val="115"/>
                <w:sz w:val="20"/>
              </w:rPr>
              <w:t>2.Masa de cel puţin 25 tone, dar mai mică de 27 tone</w:t>
            </w:r>
          </w:p>
        </w:tc>
        <w:tc>
          <w:tcPr>
            <w:tcW w:w="1735" w:type="dxa"/>
          </w:tcPr>
          <w:p>
            <w:pPr>
              <w:pStyle w:val="TableParagraph"/>
              <w:ind w:left="113"/>
              <w:rPr>
                <w:sz w:val="20"/>
              </w:rPr>
            </w:pPr>
            <w:r>
              <w:rPr>
                <w:w w:val="115"/>
                <w:sz w:val="20"/>
              </w:rPr>
              <w:t>713</w:t>
            </w:r>
          </w:p>
        </w:tc>
        <w:tc>
          <w:tcPr>
            <w:tcW w:w="2394" w:type="dxa"/>
            <w:gridSpan w:val="2"/>
          </w:tcPr>
          <w:p>
            <w:pPr>
              <w:pStyle w:val="TableParagraph"/>
              <w:ind w:left="113"/>
              <w:rPr>
                <w:sz w:val="20"/>
              </w:rPr>
            </w:pPr>
            <w:r>
              <w:rPr>
                <w:w w:val="110"/>
                <w:sz w:val="20"/>
              </w:rPr>
              <w:t>1.179</w:t>
            </w:r>
          </w:p>
        </w:tc>
      </w:tr>
      <w:tr>
        <w:trPr>
          <w:trHeight w:val="363" w:hRule="atLeast"/>
        </w:trPr>
        <w:tc>
          <w:tcPr>
            <w:tcW w:w="5650" w:type="dxa"/>
          </w:tcPr>
          <w:p>
            <w:pPr>
              <w:pStyle w:val="TableParagraph"/>
              <w:rPr>
                <w:sz w:val="20"/>
              </w:rPr>
            </w:pPr>
            <w:r>
              <w:rPr>
                <w:w w:val="115"/>
                <w:sz w:val="20"/>
              </w:rPr>
              <w:t>3. Masa de cel puţin 27 tone, dar mai mică de 29 tone</w:t>
            </w:r>
          </w:p>
        </w:tc>
        <w:tc>
          <w:tcPr>
            <w:tcW w:w="1735" w:type="dxa"/>
          </w:tcPr>
          <w:p>
            <w:pPr>
              <w:pStyle w:val="TableParagraph"/>
              <w:ind w:left="113"/>
              <w:rPr>
                <w:sz w:val="20"/>
              </w:rPr>
            </w:pPr>
            <w:r>
              <w:rPr>
                <w:w w:val="110"/>
                <w:sz w:val="20"/>
              </w:rPr>
              <w:t>1.114</w:t>
            </w:r>
          </w:p>
        </w:tc>
        <w:tc>
          <w:tcPr>
            <w:tcW w:w="2394" w:type="dxa"/>
            <w:gridSpan w:val="2"/>
          </w:tcPr>
          <w:p>
            <w:pPr>
              <w:pStyle w:val="TableParagraph"/>
              <w:ind w:left="113"/>
              <w:rPr>
                <w:sz w:val="20"/>
              </w:rPr>
            </w:pPr>
            <w:r>
              <w:rPr>
                <w:w w:val="110"/>
                <w:sz w:val="20"/>
              </w:rPr>
              <w:t>1.860</w:t>
            </w:r>
          </w:p>
        </w:tc>
      </w:tr>
      <w:tr>
        <w:trPr>
          <w:trHeight w:val="363" w:hRule="atLeast"/>
        </w:trPr>
        <w:tc>
          <w:tcPr>
            <w:tcW w:w="5650" w:type="dxa"/>
          </w:tcPr>
          <w:p>
            <w:pPr>
              <w:pStyle w:val="TableParagraph"/>
              <w:rPr>
                <w:sz w:val="20"/>
              </w:rPr>
            </w:pPr>
            <w:r>
              <w:rPr>
                <w:w w:val="115"/>
                <w:sz w:val="20"/>
              </w:rPr>
              <w:t>4. Masa de cel puţin 29 tone, dar mai mică de 31 tone</w:t>
            </w:r>
          </w:p>
        </w:tc>
        <w:tc>
          <w:tcPr>
            <w:tcW w:w="1735" w:type="dxa"/>
          </w:tcPr>
          <w:p>
            <w:pPr>
              <w:pStyle w:val="TableParagraph"/>
              <w:ind w:left="113"/>
              <w:rPr>
                <w:sz w:val="20"/>
              </w:rPr>
            </w:pPr>
            <w:r>
              <w:rPr>
                <w:w w:val="110"/>
                <w:sz w:val="20"/>
              </w:rPr>
              <w:t>1.769</w:t>
            </w:r>
          </w:p>
        </w:tc>
        <w:tc>
          <w:tcPr>
            <w:tcW w:w="2394" w:type="dxa"/>
            <w:gridSpan w:val="2"/>
          </w:tcPr>
          <w:p>
            <w:pPr>
              <w:pStyle w:val="TableParagraph"/>
              <w:ind w:left="113"/>
              <w:rPr>
                <w:sz w:val="20"/>
              </w:rPr>
            </w:pPr>
            <w:r>
              <w:rPr>
                <w:w w:val="110"/>
                <w:sz w:val="20"/>
              </w:rPr>
              <w:t>2.759</w:t>
            </w:r>
          </w:p>
        </w:tc>
      </w:tr>
      <w:tr>
        <w:trPr>
          <w:trHeight w:val="363" w:hRule="atLeast"/>
        </w:trPr>
        <w:tc>
          <w:tcPr>
            <w:tcW w:w="5650" w:type="dxa"/>
          </w:tcPr>
          <w:p>
            <w:pPr>
              <w:pStyle w:val="TableParagraph"/>
              <w:rPr>
                <w:sz w:val="20"/>
              </w:rPr>
            </w:pPr>
            <w:r>
              <w:rPr>
                <w:w w:val="115"/>
                <w:sz w:val="20"/>
              </w:rPr>
              <w:t>5.Masa de cel puţin 31 tone, dar mai mică de 32 tone</w:t>
            </w:r>
          </w:p>
        </w:tc>
        <w:tc>
          <w:tcPr>
            <w:tcW w:w="1735" w:type="dxa"/>
          </w:tcPr>
          <w:p>
            <w:pPr>
              <w:pStyle w:val="TableParagraph"/>
              <w:ind w:left="113"/>
              <w:rPr>
                <w:sz w:val="20"/>
              </w:rPr>
            </w:pPr>
            <w:r>
              <w:rPr>
                <w:w w:val="110"/>
                <w:sz w:val="20"/>
              </w:rPr>
              <w:t>1.769</w:t>
            </w:r>
          </w:p>
        </w:tc>
        <w:tc>
          <w:tcPr>
            <w:tcW w:w="2394" w:type="dxa"/>
            <w:gridSpan w:val="2"/>
          </w:tcPr>
          <w:p>
            <w:pPr>
              <w:pStyle w:val="TableParagraph"/>
              <w:ind w:left="113"/>
              <w:rPr>
                <w:sz w:val="20"/>
              </w:rPr>
            </w:pPr>
            <w:r>
              <w:rPr>
                <w:w w:val="110"/>
                <w:sz w:val="20"/>
              </w:rPr>
              <w:t>2.759</w:t>
            </w:r>
          </w:p>
        </w:tc>
      </w:tr>
      <w:tr>
        <w:trPr>
          <w:trHeight w:val="363" w:hRule="atLeast"/>
        </w:trPr>
        <w:tc>
          <w:tcPr>
            <w:tcW w:w="5650" w:type="dxa"/>
          </w:tcPr>
          <w:p>
            <w:pPr>
              <w:pStyle w:val="TableParagraph"/>
              <w:rPr>
                <w:sz w:val="20"/>
              </w:rPr>
            </w:pPr>
            <w:r>
              <w:rPr>
                <w:w w:val="110"/>
                <w:sz w:val="20"/>
              </w:rPr>
              <w:t>6. Masa de cel puţin 32 tone</w:t>
            </w:r>
          </w:p>
        </w:tc>
        <w:tc>
          <w:tcPr>
            <w:tcW w:w="1735" w:type="dxa"/>
          </w:tcPr>
          <w:p>
            <w:pPr>
              <w:pStyle w:val="TableParagraph"/>
              <w:ind w:left="113"/>
              <w:rPr>
                <w:sz w:val="20"/>
              </w:rPr>
            </w:pPr>
            <w:r>
              <w:rPr>
                <w:w w:val="110"/>
                <w:sz w:val="20"/>
              </w:rPr>
              <w:t>1.769</w:t>
            </w:r>
          </w:p>
        </w:tc>
        <w:tc>
          <w:tcPr>
            <w:tcW w:w="2394" w:type="dxa"/>
            <w:gridSpan w:val="2"/>
          </w:tcPr>
          <w:p>
            <w:pPr>
              <w:pStyle w:val="TableParagraph"/>
              <w:ind w:left="113"/>
              <w:rPr>
                <w:sz w:val="20"/>
              </w:rPr>
            </w:pPr>
            <w:r>
              <w:rPr>
                <w:w w:val="110"/>
                <w:sz w:val="20"/>
              </w:rPr>
              <w:t>2.759</w:t>
            </w:r>
          </w:p>
        </w:tc>
      </w:tr>
      <w:tr>
        <w:trPr>
          <w:trHeight w:val="363" w:hRule="atLeast"/>
        </w:trPr>
        <w:tc>
          <w:tcPr>
            <w:tcW w:w="5650" w:type="dxa"/>
          </w:tcPr>
          <w:p>
            <w:pPr>
              <w:pStyle w:val="TableParagraph"/>
              <w:spacing w:before="0"/>
              <w:ind w:left="0"/>
              <w:rPr>
                <w:rFonts w:ascii="Times New Roman"/>
                <w:sz w:val="18"/>
              </w:rPr>
            </w:pPr>
          </w:p>
        </w:tc>
        <w:tc>
          <w:tcPr>
            <w:tcW w:w="1735" w:type="dxa"/>
          </w:tcPr>
          <w:p>
            <w:pPr>
              <w:pStyle w:val="TableParagraph"/>
              <w:spacing w:before="0"/>
              <w:ind w:left="0"/>
              <w:rPr>
                <w:rFonts w:ascii="Times New Roman"/>
                <w:sz w:val="18"/>
              </w:rPr>
            </w:pPr>
          </w:p>
        </w:tc>
        <w:tc>
          <w:tcPr>
            <w:tcW w:w="322" w:type="dxa"/>
          </w:tcPr>
          <w:p>
            <w:pPr>
              <w:pStyle w:val="TableParagraph"/>
              <w:spacing w:before="0"/>
              <w:ind w:left="0"/>
              <w:rPr>
                <w:rFonts w:ascii="Times New Roman"/>
                <w:sz w:val="18"/>
              </w:rPr>
            </w:pPr>
          </w:p>
        </w:tc>
        <w:tc>
          <w:tcPr>
            <w:tcW w:w="2072" w:type="dxa"/>
          </w:tcPr>
          <w:p>
            <w:pPr>
              <w:pStyle w:val="TableParagraph"/>
              <w:spacing w:before="0"/>
              <w:ind w:left="0"/>
              <w:rPr>
                <w:rFonts w:ascii="Times New Roman"/>
                <w:sz w:val="18"/>
              </w:rPr>
            </w:pPr>
          </w:p>
        </w:tc>
      </w:tr>
    </w:tbl>
    <w:p>
      <w:pPr>
        <w:pStyle w:val="BodyText"/>
        <w:spacing w:before="0"/>
        <w:ind w:left="0"/>
        <w:jc w:val="left"/>
        <w:rPr>
          <w:sz w:val="7"/>
        </w:rPr>
      </w:pPr>
    </w:p>
    <w:p>
      <w:pPr>
        <w:pStyle w:val="ListParagraph"/>
        <w:numPr>
          <w:ilvl w:val="0"/>
          <w:numId w:val="20"/>
        </w:numPr>
        <w:tabs>
          <w:tab w:pos="825" w:val="left" w:leader="none"/>
        </w:tabs>
        <w:spacing w:line="271" w:lineRule="auto" w:before="123" w:after="0"/>
        <w:ind w:left="108" w:right="112" w:firstLine="489"/>
        <w:jc w:val="both"/>
        <w:rPr>
          <w:sz w:val="20"/>
        </w:rPr>
      </w:pPr>
      <w:r>
        <w:rPr>
          <w:w w:val="115"/>
          <w:sz w:val="20"/>
        </w:rPr>
        <w:t>În cazul unei combinaţii de autovehicule, un autovehicul articulat sau tren rutier, de transport de marfă cu masa totală maximă autorizată egală sau mai mare de 12 tone, impozitul pe mijloacele de transport este egal cu suma corespunzătoare prevăzută în tabelul</w:t>
      </w:r>
      <w:r>
        <w:rPr>
          <w:spacing w:val="-16"/>
          <w:w w:val="115"/>
          <w:sz w:val="20"/>
        </w:rPr>
        <w:t> </w:t>
      </w:r>
      <w:r>
        <w:rPr>
          <w:w w:val="115"/>
          <w:sz w:val="20"/>
        </w:rPr>
        <w:t>următor:</w:t>
      </w:r>
    </w:p>
    <w:p>
      <w:pPr>
        <w:pStyle w:val="BodyText"/>
        <w:spacing w:before="0"/>
        <w:ind w:left="0"/>
        <w:jc w:val="left"/>
      </w:pPr>
    </w:p>
    <w:p>
      <w:pPr>
        <w:pStyle w:val="BodyText"/>
        <w:spacing w:before="10"/>
        <w:ind w:left="0"/>
        <w:jc w:val="left"/>
      </w:pPr>
      <w:r>
        <w:rPr/>
        <w:pict>
          <v:group style="position:absolute;margin-left:62.400002pt;margin-top:15.061728pt;width:489.8pt;height:104.45pt;mso-position-horizontal-relative:page;mso-position-vertical-relative:paragraph;z-index:-808;mso-wrap-distance-left:0;mso-wrap-distance-right:0" coordorigin="1248,301" coordsize="9796,2089">
            <v:line style="position:absolute" from="1248,309" to="6960,309" stroked="true" strokeweight=".76770pt" strokecolor="#c0c0c0">
              <v:stroke dashstyle="solid"/>
            </v:line>
            <v:line style="position:absolute" from="1256,301" to="1256,2389" stroked="true" strokeweight=".76770pt" strokecolor="#c0c0c0">
              <v:stroke dashstyle="solid"/>
            </v:line>
            <v:line style="position:absolute" from="6952,301" to="6952,2389" stroked="true" strokeweight=".76770pt" strokecolor="#c0c0c0">
              <v:stroke dashstyle="solid"/>
            </v:line>
            <v:shape style="position:absolute;left:1248;top:301;width:5712;height:2089" type="#_x0000_t202" filled="false" stroked="false">
              <v:textbox inset="0,0,0,0">
                <w:txbxContent>
                  <w:p>
                    <w:pPr>
                      <w:spacing w:line="271" w:lineRule="auto" w:before="86"/>
                      <w:ind w:left="122" w:right="41" w:firstLine="0"/>
                      <w:jc w:val="left"/>
                      <w:rPr>
                        <w:sz w:val="20"/>
                      </w:rPr>
                    </w:pPr>
                    <w:r>
                      <w:rPr>
                        <w:w w:val="115"/>
                        <w:sz w:val="20"/>
                      </w:rPr>
                      <w:t>Numărul de axe şi greutatea brută încărcată maximă admisă</w:t>
                    </w:r>
                  </w:p>
                </w:txbxContent>
              </v:textbox>
              <w10:wrap type="none"/>
            </v:shape>
            <v:shape style="position:absolute;left:6952;top:308;width:4085;height:384" type="#_x0000_t202" filled="false" stroked="true" strokeweight=".76770pt" strokecolor="#c0c0c0">
              <v:textbox inset="0,0,0,0">
                <w:txbxContent>
                  <w:p>
                    <w:pPr>
                      <w:spacing w:before="70"/>
                      <w:ind w:left="107" w:right="0" w:firstLine="0"/>
                      <w:jc w:val="left"/>
                      <w:rPr>
                        <w:sz w:val="20"/>
                      </w:rPr>
                    </w:pPr>
                    <w:r>
                      <w:rPr>
                        <w:w w:val="110"/>
                        <w:sz w:val="20"/>
                      </w:rPr>
                      <w:t>Impozit (lei/an)</w:t>
                    </w:r>
                  </w:p>
                </w:txbxContent>
              </v:textbox>
              <v:stroke dashstyle="solid"/>
              <w10:wrap type="none"/>
            </v:shape>
            <w10:wrap type="topAndBottom"/>
          </v:group>
        </w:pict>
      </w:r>
    </w:p>
    <w:p>
      <w:pPr>
        <w:spacing w:after="0"/>
        <w:jc w:val="left"/>
        <w:sectPr>
          <w:pgSz w:w="11900" w:h="16840"/>
          <w:pgMar w:header="0" w:footer="280" w:top="500" w:bottom="560" w:left="1140" w:right="740"/>
        </w:sect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5466"/>
        <w:gridCol w:w="230"/>
        <w:gridCol w:w="1719"/>
        <w:gridCol w:w="322"/>
        <w:gridCol w:w="2042"/>
      </w:tblGrid>
      <w:tr>
        <w:trPr>
          <w:trHeight w:val="2283" w:hRule="atLeast"/>
        </w:trPr>
        <w:tc>
          <w:tcPr>
            <w:tcW w:w="5696" w:type="dxa"/>
            <w:gridSpan w:val="2"/>
            <w:tcBorders>
              <w:top w:val="nil"/>
            </w:tcBorders>
          </w:tcPr>
          <w:p>
            <w:pPr>
              <w:pStyle w:val="TableParagraph"/>
              <w:spacing w:before="0"/>
              <w:ind w:left="0"/>
              <w:rPr>
                <w:rFonts w:ascii="Times New Roman"/>
                <w:sz w:val="18"/>
              </w:rPr>
            </w:pPr>
          </w:p>
        </w:tc>
        <w:tc>
          <w:tcPr>
            <w:tcW w:w="2041" w:type="dxa"/>
            <w:gridSpan w:val="2"/>
          </w:tcPr>
          <w:p>
            <w:pPr>
              <w:pStyle w:val="TableParagraph"/>
              <w:tabs>
                <w:tab w:pos="809" w:val="left" w:leader="none"/>
              </w:tabs>
              <w:spacing w:line="271" w:lineRule="auto" w:before="64"/>
              <w:ind w:left="113" w:right="90"/>
              <w:rPr>
                <w:sz w:val="20"/>
              </w:rPr>
            </w:pPr>
            <w:r>
              <w:rPr>
                <w:w w:val="110"/>
                <w:sz w:val="20"/>
              </w:rPr>
              <w:t>Ax(e)</w:t>
              <w:tab/>
              <w:t>motor(oare) cu</w:t>
            </w:r>
          </w:p>
          <w:p>
            <w:pPr>
              <w:pStyle w:val="TableParagraph"/>
              <w:spacing w:line="271" w:lineRule="auto" w:before="1"/>
              <w:ind w:left="113" w:right="406"/>
              <w:rPr>
                <w:sz w:val="20"/>
              </w:rPr>
            </w:pPr>
            <w:r>
              <w:rPr>
                <w:w w:val="115"/>
                <w:sz w:val="20"/>
              </w:rPr>
              <w:t>sistem de suspensie pneumatică sau un echivalent recunoscut</w:t>
            </w:r>
          </w:p>
        </w:tc>
        <w:tc>
          <w:tcPr>
            <w:tcW w:w="2042" w:type="dxa"/>
          </w:tcPr>
          <w:p>
            <w:pPr>
              <w:pStyle w:val="TableParagraph"/>
              <w:spacing w:before="64"/>
              <w:ind w:left="114"/>
              <w:rPr>
                <w:sz w:val="20"/>
              </w:rPr>
            </w:pPr>
            <w:r>
              <w:rPr>
                <w:w w:val="110"/>
                <w:sz w:val="20"/>
              </w:rPr>
              <w:t>Alte</w:t>
            </w:r>
          </w:p>
          <w:p>
            <w:pPr>
              <w:pStyle w:val="TableParagraph"/>
              <w:tabs>
                <w:tab w:pos="1093" w:val="left" w:leader="none"/>
                <w:tab w:pos="1291" w:val="left" w:leader="none"/>
              </w:tabs>
              <w:spacing w:line="271" w:lineRule="auto" w:before="32"/>
              <w:ind w:left="114" w:right="96"/>
              <w:rPr>
                <w:sz w:val="20"/>
              </w:rPr>
            </w:pPr>
            <w:r>
              <w:rPr>
                <w:w w:val="115"/>
                <w:sz w:val="20"/>
              </w:rPr>
              <w:t>sisteme</w:t>
              <w:tab/>
              <w:t>de suspensie</w:t>
              <w:tab/>
              <w:tab/>
            </w:r>
            <w:r>
              <w:rPr>
                <w:spacing w:val="-4"/>
                <w:w w:val="115"/>
                <w:sz w:val="20"/>
              </w:rPr>
              <w:t>pentru </w:t>
            </w:r>
            <w:r>
              <w:rPr>
                <w:w w:val="115"/>
                <w:sz w:val="20"/>
              </w:rPr>
              <w:t>axele</w:t>
            </w:r>
            <w:r>
              <w:rPr>
                <w:spacing w:val="-3"/>
                <w:w w:val="115"/>
                <w:sz w:val="20"/>
              </w:rPr>
              <w:t> </w:t>
            </w:r>
            <w:r>
              <w:rPr>
                <w:w w:val="115"/>
                <w:sz w:val="20"/>
              </w:rPr>
              <w:t>motoare</w:t>
            </w:r>
          </w:p>
        </w:tc>
      </w:tr>
      <w:tr>
        <w:trPr>
          <w:trHeight w:val="363" w:hRule="atLeast"/>
        </w:trPr>
        <w:tc>
          <w:tcPr>
            <w:tcW w:w="9779" w:type="dxa"/>
            <w:gridSpan w:val="5"/>
          </w:tcPr>
          <w:p>
            <w:pPr>
              <w:pStyle w:val="TableParagraph"/>
              <w:spacing w:before="67"/>
              <w:rPr>
                <w:rFonts w:ascii="Arial"/>
                <w:b/>
                <w:sz w:val="20"/>
              </w:rPr>
            </w:pPr>
            <w:r>
              <w:rPr>
                <w:rFonts w:ascii="Arial"/>
                <w:b/>
                <w:sz w:val="20"/>
              </w:rPr>
              <w:t>I. VEHICULE CU 2 +1 AXE</w:t>
            </w:r>
          </w:p>
        </w:tc>
      </w:tr>
      <w:tr>
        <w:trPr>
          <w:trHeight w:val="363" w:hRule="atLeast"/>
        </w:trPr>
        <w:tc>
          <w:tcPr>
            <w:tcW w:w="5696" w:type="dxa"/>
            <w:gridSpan w:val="2"/>
          </w:tcPr>
          <w:p>
            <w:pPr>
              <w:pStyle w:val="TableParagraph"/>
              <w:spacing w:before="64"/>
              <w:rPr>
                <w:sz w:val="20"/>
              </w:rPr>
            </w:pPr>
            <w:r>
              <w:rPr>
                <w:w w:val="115"/>
                <w:sz w:val="20"/>
              </w:rPr>
              <w:t>1. Masa de cel puţin 12 tone, dar mai mică de 14 tone</w:t>
            </w:r>
          </w:p>
        </w:tc>
        <w:tc>
          <w:tcPr>
            <w:tcW w:w="2041" w:type="dxa"/>
            <w:gridSpan w:val="2"/>
          </w:tcPr>
          <w:p>
            <w:pPr>
              <w:pStyle w:val="TableParagraph"/>
              <w:spacing w:before="64"/>
              <w:ind w:left="113"/>
              <w:rPr>
                <w:sz w:val="20"/>
              </w:rPr>
            </w:pPr>
            <w:r>
              <w:rPr>
                <w:w w:val="112"/>
                <w:sz w:val="20"/>
              </w:rPr>
              <w:t>0</w:t>
            </w:r>
          </w:p>
        </w:tc>
        <w:tc>
          <w:tcPr>
            <w:tcW w:w="2042" w:type="dxa"/>
          </w:tcPr>
          <w:p>
            <w:pPr>
              <w:pStyle w:val="TableParagraph"/>
              <w:spacing w:before="64"/>
              <w:ind w:left="114"/>
              <w:rPr>
                <w:sz w:val="20"/>
              </w:rPr>
            </w:pPr>
            <w:r>
              <w:rPr>
                <w:w w:val="112"/>
                <w:sz w:val="20"/>
              </w:rPr>
              <w:t>0</w:t>
            </w:r>
          </w:p>
        </w:tc>
      </w:tr>
      <w:tr>
        <w:trPr>
          <w:trHeight w:val="363" w:hRule="atLeast"/>
        </w:trPr>
        <w:tc>
          <w:tcPr>
            <w:tcW w:w="5696" w:type="dxa"/>
            <w:gridSpan w:val="2"/>
          </w:tcPr>
          <w:p>
            <w:pPr>
              <w:pStyle w:val="TableParagraph"/>
              <w:spacing w:before="64"/>
              <w:rPr>
                <w:sz w:val="20"/>
              </w:rPr>
            </w:pPr>
            <w:r>
              <w:rPr>
                <w:w w:val="115"/>
                <w:sz w:val="20"/>
              </w:rPr>
              <w:t>2. Masa de cel puţin 14 tone, dar mai mică de 16 tone</w:t>
            </w:r>
          </w:p>
        </w:tc>
        <w:tc>
          <w:tcPr>
            <w:tcW w:w="2041" w:type="dxa"/>
            <w:gridSpan w:val="2"/>
          </w:tcPr>
          <w:p>
            <w:pPr>
              <w:pStyle w:val="TableParagraph"/>
              <w:spacing w:before="64"/>
              <w:ind w:left="113"/>
              <w:rPr>
                <w:sz w:val="20"/>
              </w:rPr>
            </w:pPr>
            <w:r>
              <w:rPr>
                <w:w w:val="112"/>
                <w:sz w:val="20"/>
              </w:rPr>
              <w:t>0</w:t>
            </w:r>
          </w:p>
        </w:tc>
        <w:tc>
          <w:tcPr>
            <w:tcW w:w="2042" w:type="dxa"/>
          </w:tcPr>
          <w:p>
            <w:pPr>
              <w:pStyle w:val="TableParagraph"/>
              <w:spacing w:before="64"/>
              <w:ind w:left="114"/>
              <w:rPr>
                <w:sz w:val="20"/>
              </w:rPr>
            </w:pPr>
            <w:r>
              <w:rPr>
                <w:w w:val="112"/>
                <w:sz w:val="20"/>
              </w:rPr>
              <w:t>0</w:t>
            </w:r>
          </w:p>
        </w:tc>
      </w:tr>
      <w:tr>
        <w:trPr>
          <w:trHeight w:val="363" w:hRule="atLeast"/>
        </w:trPr>
        <w:tc>
          <w:tcPr>
            <w:tcW w:w="5696" w:type="dxa"/>
            <w:gridSpan w:val="2"/>
          </w:tcPr>
          <w:p>
            <w:pPr>
              <w:pStyle w:val="TableParagraph"/>
              <w:spacing w:before="64"/>
              <w:rPr>
                <w:sz w:val="20"/>
              </w:rPr>
            </w:pPr>
            <w:r>
              <w:rPr>
                <w:w w:val="115"/>
                <w:sz w:val="20"/>
              </w:rPr>
              <w:t>3.Masa de cel puţin 16 tone, dar mai mică de 18 tone</w:t>
            </w:r>
          </w:p>
        </w:tc>
        <w:tc>
          <w:tcPr>
            <w:tcW w:w="2041" w:type="dxa"/>
            <w:gridSpan w:val="2"/>
          </w:tcPr>
          <w:p>
            <w:pPr>
              <w:pStyle w:val="TableParagraph"/>
              <w:spacing w:before="64"/>
              <w:ind w:left="113"/>
              <w:rPr>
                <w:sz w:val="20"/>
              </w:rPr>
            </w:pPr>
            <w:r>
              <w:rPr>
                <w:w w:val="112"/>
                <w:sz w:val="20"/>
              </w:rPr>
              <w:t>0</w:t>
            </w:r>
          </w:p>
        </w:tc>
        <w:tc>
          <w:tcPr>
            <w:tcW w:w="2042" w:type="dxa"/>
          </w:tcPr>
          <w:p>
            <w:pPr>
              <w:pStyle w:val="TableParagraph"/>
              <w:spacing w:before="64"/>
              <w:ind w:left="114"/>
              <w:rPr>
                <w:sz w:val="20"/>
              </w:rPr>
            </w:pPr>
            <w:r>
              <w:rPr>
                <w:w w:val="115"/>
                <w:sz w:val="20"/>
              </w:rPr>
              <w:t>71</w:t>
            </w:r>
          </w:p>
        </w:tc>
      </w:tr>
      <w:tr>
        <w:trPr>
          <w:trHeight w:val="363" w:hRule="atLeast"/>
        </w:trPr>
        <w:tc>
          <w:tcPr>
            <w:tcW w:w="5696" w:type="dxa"/>
            <w:gridSpan w:val="2"/>
          </w:tcPr>
          <w:p>
            <w:pPr>
              <w:pStyle w:val="TableParagraph"/>
              <w:spacing w:before="64"/>
              <w:rPr>
                <w:sz w:val="20"/>
              </w:rPr>
            </w:pPr>
            <w:r>
              <w:rPr>
                <w:w w:val="115"/>
                <w:sz w:val="20"/>
              </w:rPr>
              <w:t>4. Masa de cel puţin 18 tone, dar mai mică de 20 tone</w:t>
            </w:r>
          </w:p>
        </w:tc>
        <w:tc>
          <w:tcPr>
            <w:tcW w:w="2041" w:type="dxa"/>
            <w:gridSpan w:val="2"/>
          </w:tcPr>
          <w:p>
            <w:pPr>
              <w:pStyle w:val="TableParagraph"/>
              <w:spacing w:before="64"/>
              <w:ind w:left="113"/>
              <w:rPr>
                <w:sz w:val="20"/>
              </w:rPr>
            </w:pPr>
            <w:r>
              <w:rPr>
                <w:w w:val="115"/>
                <w:sz w:val="20"/>
              </w:rPr>
              <w:t>68</w:t>
            </w:r>
          </w:p>
        </w:tc>
        <w:tc>
          <w:tcPr>
            <w:tcW w:w="2042" w:type="dxa"/>
          </w:tcPr>
          <w:p>
            <w:pPr>
              <w:pStyle w:val="TableParagraph"/>
              <w:spacing w:before="64"/>
              <w:ind w:left="114"/>
              <w:rPr>
                <w:sz w:val="20"/>
              </w:rPr>
            </w:pPr>
            <w:r>
              <w:rPr>
                <w:w w:val="115"/>
                <w:sz w:val="20"/>
              </w:rPr>
              <w:t>165</w:t>
            </w:r>
          </w:p>
        </w:tc>
      </w:tr>
      <w:tr>
        <w:trPr>
          <w:trHeight w:val="363" w:hRule="atLeast"/>
        </w:trPr>
        <w:tc>
          <w:tcPr>
            <w:tcW w:w="5696" w:type="dxa"/>
            <w:gridSpan w:val="2"/>
          </w:tcPr>
          <w:p>
            <w:pPr>
              <w:pStyle w:val="TableParagraph"/>
              <w:spacing w:before="64"/>
              <w:rPr>
                <w:sz w:val="20"/>
              </w:rPr>
            </w:pPr>
            <w:r>
              <w:rPr>
                <w:w w:val="115"/>
                <w:sz w:val="20"/>
              </w:rPr>
              <w:t>5. Masa de cel puţin 20 tone, dar mai mică de 22 tone</w:t>
            </w:r>
          </w:p>
        </w:tc>
        <w:tc>
          <w:tcPr>
            <w:tcW w:w="2041" w:type="dxa"/>
            <w:gridSpan w:val="2"/>
          </w:tcPr>
          <w:p>
            <w:pPr>
              <w:pStyle w:val="TableParagraph"/>
              <w:spacing w:before="64"/>
              <w:ind w:left="113"/>
              <w:rPr>
                <w:sz w:val="20"/>
              </w:rPr>
            </w:pPr>
            <w:r>
              <w:rPr>
                <w:w w:val="115"/>
                <w:sz w:val="20"/>
              </w:rPr>
              <w:t>157</w:t>
            </w:r>
          </w:p>
        </w:tc>
        <w:tc>
          <w:tcPr>
            <w:tcW w:w="2042" w:type="dxa"/>
          </w:tcPr>
          <w:p>
            <w:pPr>
              <w:pStyle w:val="TableParagraph"/>
              <w:spacing w:before="64"/>
              <w:ind w:left="114"/>
              <w:rPr>
                <w:sz w:val="20"/>
              </w:rPr>
            </w:pPr>
            <w:r>
              <w:rPr>
                <w:w w:val="115"/>
                <w:sz w:val="20"/>
              </w:rPr>
              <w:t>385</w:t>
            </w:r>
          </w:p>
        </w:tc>
      </w:tr>
      <w:tr>
        <w:trPr>
          <w:trHeight w:val="363" w:hRule="atLeast"/>
        </w:trPr>
        <w:tc>
          <w:tcPr>
            <w:tcW w:w="5696" w:type="dxa"/>
            <w:gridSpan w:val="2"/>
          </w:tcPr>
          <w:p>
            <w:pPr>
              <w:pStyle w:val="TableParagraph"/>
              <w:spacing w:before="64"/>
              <w:rPr>
                <w:sz w:val="20"/>
              </w:rPr>
            </w:pPr>
            <w:r>
              <w:rPr>
                <w:w w:val="115"/>
                <w:sz w:val="20"/>
              </w:rPr>
              <w:t>6. Masa de cel puţin 22 tone, dar mai mică de 23 tone</w:t>
            </w:r>
          </w:p>
        </w:tc>
        <w:tc>
          <w:tcPr>
            <w:tcW w:w="2041" w:type="dxa"/>
            <w:gridSpan w:val="2"/>
          </w:tcPr>
          <w:p>
            <w:pPr>
              <w:pStyle w:val="TableParagraph"/>
              <w:spacing w:before="64"/>
              <w:ind w:left="113"/>
              <w:rPr>
                <w:sz w:val="20"/>
              </w:rPr>
            </w:pPr>
            <w:r>
              <w:rPr>
                <w:w w:val="115"/>
                <w:sz w:val="20"/>
              </w:rPr>
              <w:t>366</w:t>
            </w:r>
          </w:p>
        </w:tc>
        <w:tc>
          <w:tcPr>
            <w:tcW w:w="2042" w:type="dxa"/>
          </w:tcPr>
          <w:p>
            <w:pPr>
              <w:pStyle w:val="TableParagraph"/>
              <w:spacing w:before="64"/>
              <w:ind w:left="114"/>
              <w:rPr>
                <w:sz w:val="20"/>
              </w:rPr>
            </w:pPr>
            <w:r>
              <w:rPr>
                <w:w w:val="115"/>
                <w:sz w:val="20"/>
              </w:rPr>
              <w:t>498</w:t>
            </w:r>
          </w:p>
        </w:tc>
      </w:tr>
      <w:tr>
        <w:trPr>
          <w:trHeight w:val="363" w:hRule="atLeast"/>
        </w:trPr>
        <w:tc>
          <w:tcPr>
            <w:tcW w:w="5696" w:type="dxa"/>
            <w:gridSpan w:val="2"/>
          </w:tcPr>
          <w:p>
            <w:pPr>
              <w:pStyle w:val="TableParagraph"/>
              <w:spacing w:before="64"/>
              <w:rPr>
                <w:sz w:val="20"/>
              </w:rPr>
            </w:pPr>
            <w:r>
              <w:rPr>
                <w:w w:val="115"/>
                <w:sz w:val="20"/>
              </w:rPr>
              <w:t>7. Masa de cel puţin 23 tone, dar mai mică de 25 tone</w:t>
            </w:r>
          </w:p>
        </w:tc>
        <w:tc>
          <w:tcPr>
            <w:tcW w:w="2041" w:type="dxa"/>
            <w:gridSpan w:val="2"/>
          </w:tcPr>
          <w:p>
            <w:pPr>
              <w:pStyle w:val="TableParagraph"/>
              <w:spacing w:before="64"/>
              <w:ind w:left="113"/>
              <w:rPr>
                <w:sz w:val="20"/>
              </w:rPr>
            </w:pPr>
            <w:r>
              <w:rPr>
                <w:w w:val="115"/>
                <w:sz w:val="20"/>
              </w:rPr>
              <w:t>474</w:t>
            </w:r>
          </w:p>
        </w:tc>
        <w:tc>
          <w:tcPr>
            <w:tcW w:w="2042" w:type="dxa"/>
          </w:tcPr>
          <w:p>
            <w:pPr>
              <w:pStyle w:val="TableParagraph"/>
              <w:spacing w:before="64"/>
              <w:ind w:left="114"/>
              <w:rPr>
                <w:sz w:val="20"/>
              </w:rPr>
            </w:pPr>
            <w:r>
              <w:rPr>
                <w:w w:val="115"/>
                <w:sz w:val="20"/>
              </w:rPr>
              <w:t>900</w:t>
            </w:r>
          </w:p>
        </w:tc>
      </w:tr>
      <w:tr>
        <w:trPr>
          <w:trHeight w:val="363" w:hRule="atLeast"/>
        </w:trPr>
        <w:tc>
          <w:tcPr>
            <w:tcW w:w="5696" w:type="dxa"/>
            <w:gridSpan w:val="2"/>
          </w:tcPr>
          <w:p>
            <w:pPr>
              <w:pStyle w:val="TableParagraph"/>
              <w:spacing w:before="64"/>
              <w:rPr>
                <w:sz w:val="20"/>
              </w:rPr>
            </w:pPr>
            <w:r>
              <w:rPr>
                <w:w w:val="115"/>
                <w:sz w:val="20"/>
              </w:rPr>
              <w:t>8. Masa de cel puţin 25 tone, dar mai mică de 28 tone</w:t>
            </w:r>
          </w:p>
        </w:tc>
        <w:tc>
          <w:tcPr>
            <w:tcW w:w="2041" w:type="dxa"/>
            <w:gridSpan w:val="2"/>
          </w:tcPr>
          <w:p>
            <w:pPr>
              <w:pStyle w:val="TableParagraph"/>
              <w:spacing w:before="64"/>
              <w:ind w:left="113"/>
              <w:rPr>
                <w:sz w:val="20"/>
              </w:rPr>
            </w:pPr>
            <w:r>
              <w:rPr>
                <w:w w:val="115"/>
                <w:sz w:val="20"/>
              </w:rPr>
              <w:t>856</w:t>
            </w:r>
          </w:p>
        </w:tc>
        <w:tc>
          <w:tcPr>
            <w:tcW w:w="2042" w:type="dxa"/>
          </w:tcPr>
          <w:p>
            <w:pPr>
              <w:pStyle w:val="TableParagraph"/>
              <w:spacing w:before="64"/>
              <w:ind w:left="114"/>
              <w:rPr>
                <w:sz w:val="20"/>
              </w:rPr>
            </w:pPr>
            <w:r>
              <w:rPr>
                <w:w w:val="110"/>
                <w:sz w:val="20"/>
              </w:rPr>
              <w:t>1.577</w:t>
            </w:r>
          </w:p>
        </w:tc>
      </w:tr>
      <w:tr>
        <w:trPr>
          <w:trHeight w:val="363" w:hRule="atLeast"/>
        </w:trPr>
        <w:tc>
          <w:tcPr>
            <w:tcW w:w="5696" w:type="dxa"/>
            <w:gridSpan w:val="2"/>
          </w:tcPr>
          <w:p>
            <w:pPr>
              <w:pStyle w:val="TableParagraph"/>
              <w:spacing w:before="64"/>
              <w:rPr>
                <w:sz w:val="20"/>
              </w:rPr>
            </w:pPr>
            <w:r>
              <w:rPr>
                <w:w w:val="110"/>
                <w:sz w:val="20"/>
              </w:rPr>
              <w:t>9. Masa de cel puţin 28 tone</w:t>
            </w:r>
          </w:p>
        </w:tc>
        <w:tc>
          <w:tcPr>
            <w:tcW w:w="2041" w:type="dxa"/>
            <w:gridSpan w:val="2"/>
          </w:tcPr>
          <w:p>
            <w:pPr>
              <w:pStyle w:val="TableParagraph"/>
              <w:spacing w:before="64"/>
              <w:ind w:left="113"/>
              <w:rPr>
                <w:sz w:val="20"/>
              </w:rPr>
            </w:pPr>
            <w:r>
              <w:rPr>
                <w:w w:val="115"/>
                <w:sz w:val="20"/>
              </w:rPr>
              <w:t>856</w:t>
            </w:r>
          </w:p>
        </w:tc>
        <w:tc>
          <w:tcPr>
            <w:tcW w:w="2042" w:type="dxa"/>
          </w:tcPr>
          <w:p>
            <w:pPr>
              <w:pStyle w:val="TableParagraph"/>
              <w:spacing w:before="64"/>
              <w:ind w:left="114"/>
              <w:rPr>
                <w:sz w:val="20"/>
              </w:rPr>
            </w:pPr>
            <w:r>
              <w:rPr>
                <w:w w:val="110"/>
                <w:sz w:val="20"/>
              </w:rPr>
              <w:t>1.577</w:t>
            </w:r>
          </w:p>
        </w:tc>
      </w:tr>
      <w:tr>
        <w:trPr>
          <w:trHeight w:val="363" w:hRule="atLeast"/>
        </w:trPr>
        <w:tc>
          <w:tcPr>
            <w:tcW w:w="9779" w:type="dxa"/>
            <w:gridSpan w:val="5"/>
          </w:tcPr>
          <w:p>
            <w:pPr>
              <w:pStyle w:val="TableParagraph"/>
              <w:spacing w:before="64"/>
              <w:rPr>
                <w:rFonts w:ascii="Arial"/>
                <w:b/>
                <w:sz w:val="20"/>
              </w:rPr>
            </w:pPr>
            <w:r>
              <w:rPr>
                <w:rFonts w:ascii="Arial"/>
                <w:b/>
                <w:sz w:val="20"/>
              </w:rPr>
              <w:t>II</w:t>
            </w:r>
            <w:r>
              <w:rPr>
                <w:sz w:val="20"/>
              </w:rPr>
              <w:t>. </w:t>
            </w:r>
            <w:r>
              <w:rPr>
                <w:rFonts w:ascii="Arial"/>
                <w:b/>
                <w:sz w:val="20"/>
              </w:rPr>
              <w:t>VEHICULE CU 2+2 AXE</w:t>
            </w:r>
          </w:p>
        </w:tc>
      </w:tr>
      <w:tr>
        <w:trPr>
          <w:trHeight w:val="363" w:hRule="atLeast"/>
        </w:trPr>
        <w:tc>
          <w:tcPr>
            <w:tcW w:w="5696" w:type="dxa"/>
            <w:gridSpan w:val="2"/>
          </w:tcPr>
          <w:p>
            <w:pPr>
              <w:pStyle w:val="TableParagraph"/>
              <w:spacing w:before="64"/>
              <w:rPr>
                <w:sz w:val="20"/>
              </w:rPr>
            </w:pPr>
            <w:r>
              <w:rPr>
                <w:w w:val="115"/>
                <w:sz w:val="20"/>
              </w:rPr>
              <w:t>1. Masa de cel puţin 23 tone, dar mai mică de 25 tone</w:t>
            </w:r>
          </w:p>
        </w:tc>
        <w:tc>
          <w:tcPr>
            <w:tcW w:w="2041" w:type="dxa"/>
            <w:gridSpan w:val="2"/>
          </w:tcPr>
          <w:p>
            <w:pPr>
              <w:pStyle w:val="TableParagraph"/>
              <w:spacing w:before="64"/>
              <w:ind w:left="113"/>
              <w:rPr>
                <w:sz w:val="20"/>
              </w:rPr>
            </w:pPr>
            <w:r>
              <w:rPr>
                <w:w w:val="115"/>
                <w:sz w:val="20"/>
              </w:rPr>
              <w:t>147</w:t>
            </w:r>
          </w:p>
        </w:tc>
        <w:tc>
          <w:tcPr>
            <w:tcW w:w="2042" w:type="dxa"/>
          </w:tcPr>
          <w:p>
            <w:pPr>
              <w:pStyle w:val="TableParagraph"/>
              <w:spacing w:before="64"/>
              <w:ind w:left="114"/>
              <w:rPr>
                <w:sz w:val="20"/>
              </w:rPr>
            </w:pPr>
            <w:r>
              <w:rPr>
                <w:w w:val="115"/>
                <w:sz w:val="20"/>
              </w:rPr>
              <w:t>359</w:t>
            </w:r>
          </w:p>
        </w:tc>
      </w:tr>
      <w:tr>
        <w:trPr>
          <w:trHeight w:val="363" w:hRule="atLeast"/>
        </w:trPr>
        <w:tc>
          <w:tcPr>
            <w:tcW w:w="5696" w:type="dxa"/>
            <w:gridSpan w:val="2"/>
          </w:tcPr>
          <w:p>
            <w:pPr>
              <w:pStyle w:val="TableParagraph"/>
              <w:spacing w:before="64"/>
              <w:rPr>
                <w:sz w:val="20"/>
              </w:rPr>
            </w:pPr>
            <w:r>
              <w:rPr>
                <w:w w:val="115"/>
                <w:sz w:val="20"/>
              </w:rPr>
              <w:t>2. Masa de cel puţin 25 tone, dar mai mică de 26 tone</w:t>
            </w:r>
          </w:p>
        </w:tc>
        <w:tc>
          <w:tcPr>
            <w:tcW w:w="2041" w:type="dxa"/>
            <w:gridSpan w:val="2"/>
          </w:tcPr>
          <w:p>
            <w:pPr>
              <w:pStyle w:val="TableParagraph"/>
              <w:spacing w:before="64"/>
              <w:ind w:left="113"/>
              <w:rPr>
                <w:sz w:val="20"/>
              </w:rPr>
            </w:pPr>
            <w:r>
              <w:rPr>
                <w:w w:val="115"/>
                <w:sz w:val="20"/>
              </w:rPr>
              <w:t>342</w:t>
            </w:r>
          </w:p>
        </w:tc>
        <w:tc>
          <w:tcPr>
            <w:tcW w:w="2042" w:type="dxa"/>
          </w:tcPr>
          <w:p>
            <w:pPr>
              <w:pStyle w:val="TableParagraph"/>
              <w:spacing w:before="64"/>
              <w:ind w:left="114"/>
              <w:rPr>
                <w:sz w:val="20"/>
              </w:rPr>
            </w:pPr>
            <w:r>
              <w:rPr>
                <w:w w:val="115"/>
                <w:sz w:val="20"/>
              </w:rPr>
              <w:t>591</w:t>
            </w:r>
          </w:p>
        </w:tc>
      </w:tr>
      <w:tr>
        <w:trPr>
          <w:trHeight w:val="363" w:hRule="atLeast"/>
        </w:trPr>
        <w:tc>
          <w:tcPr>
            <w:tcW w:w="5696" w:type="dxa"/>
            <w:gridSpan w:val="2"/>
          </w:tcPr>
          <w:p>
            <w:pPr>
              <w:pStyle w:val="TableParagraph"/>
              <w:spacing w:before="64"/>
              <w:rPr>
                <w:sz w:val="20"/>
              </w:rPr>
            </w:pPr>
            <w:r>
              <w:rPr>
                <w:w w:val="115"/>
                <w:sz w:val="20"/>
              </w:rPr>
              <w:t>3. Masa de cel puţin 26 tone, dar mai mică de 28 tone</w:t>
            </w:r>
          </w:p>
        </w:tc>
        <w:tc>
          <w:tcPr>
            <w:tcW w:w="2041" w:type="dxa"/>
            <w:gridSpan w:val="2"/>
          </w:tcPr>
          <w:p>
            <w:pPr>
              <w:pStyle w:val="TableParagraph"/>
              <w:spacing w:before="64"/>
              <w:ind w:left="113"/>
              <w:rPr>
                <w:sz w:val="20"/>
              </w:rPr>
            </w:pPr>
            <w:r>
              <w:rPr>
                <w:w w:val="115"/>
                <w:sz w:val="20"/>
              </w:rPr>
              <w:t>562</w:t>
            </w:r>
          </w:p>
        </w:tc>
        <w:tc>
          <w:tcPr>
            <w:tcW w:w="2042" w:type="dxa"/>
          </w:tcPr>
          <w:p>
            <w:pPr>
              <w:pStyle w:val="TableParagraph"/>
              <w:spacing w:before="64"/>
              <w:ind w:left="114"/>
              <w:rPr>
                <w:sz w:val="20"/>
              </w:rPr>
            </w:pPr>
            <w:r>
              <w:rPr>
                <w:w w:val="115"/>
                <w:sz w:val="20"/>
              </w:rPr>
              <w:t>867</w:t>
            </w:r>
          </w:p>
        </w:tc>
      </w:tr>
      <w:tr>
        <w:trPr>
          <w:trHeight w:val="363" w:hRule="atLeast"/>
        </w:trPr>
        <w:tc>
          <w:tcPr>
            <w:tcW w:w="5696" w:type="dxa"/>
            <w:gridSpan w:val="2"/>
          </w:tcPr>
          <w:p>
            <w:pPr>
              <w:pStyle w:val="TableParagraph"/>
              <w:spacing w:before="64"/>
              <w:rPr>
                <w:sz w:val="20"/>
              </w:rPr>
            </w:pPr>
            <w:r>
              <w:rPr>
                <w:w w:val="115"/>
                <w:sz w:val="20"/>
              </w:rPr>
              <w:t>4. Masa de cel puţin 28 tone, dar mai mică de 29 tone</w:t>
            </w:r>
          </w:p>
        </w:tc>
        <w:tc>
          <w:tcPr>
            <w:tcW w:w="2041" w:type="dxa"/>
            <w:gridSpan w:val="2"/>
          </w:tcPr>
          <w:p>
            <w:pPr>
              <w:pStyle w:val="TableParagraph"/>
              <w:spacing w:before="64"/>
              <w:ind w:left="113"/>
              <w:rPr>
                <w:sz w:val="20"/>
              </w:rPr>
            </w:pPr>
            <w:r>
              <w:rPr>
                <w:w w:val="115"/>
                <w:sz w:val="20"/>
              </w:rPr>
              <w:t>825</w:t>
            </w:r>
          </w:p>
        </w:tc>
        <w:tc>
          <w:tcPr>
            <w:tcW w:w="2042" w:type="dxa"/>
          </w:tcPr>
          <w:p>
            <w:pPr>
              <w:pStyle w:val="TableParagraph"/>
              <w:spacing w:before="64"/>
              <w:ind w:left="114"/>
              <w:rPr>
                <w:sz w:val="20"/>
              </w:rPr>
            </w:pPr>
            <w:r>
              <w:rPr>
                <w:w w:val="110"/>
                <w:sz w:val="20"/>
              </w:rPr>
              <w:t>1.048</w:t>
            </w:r>
          </w:p>
        </w:tc>
      </w:tr>
      <w:tr>
        <w:trPr>
          <w:trHeight w:val="363" w:hRule="atLeast"/>
        </w:trPr>
        <w:tc>
          <w:tcPr>
            <w:tcW w:w="5696" w:type="dxa"/>
            <w:gridSpan w:val="2"/>
          </w:tcPr>
          <w:p>
            <w:pPr>
              <w:pStyle w:val="TableParagraph"/>
              <w:spacing w:before="64"/>
              <w:rPr>
                <w:sz w:val="20"/>
              </w:rPr>
            </w:pPr>
            <w:r>
              <w:rPr>
                <w:w w:val="115"/>
                <w:sz w:val="20"/>
              </w:rPr>
              <w:t>5. Masa de cel puţin 29 tone, dar mai mică de 31 tone</w:t>
            </w:r>
          </w:p>
        </w:tc>
        <w:tc>
          <w:tcPr>
            <w:tcW w:w="2041" w:type="dxa"/>
            <w:gridSpan w:val="2"/>
          </w:tcPr>
          <w:p>
            <w:pPr>
              <w:pStyle w:val="TableParagraph"/>
              <w:spacing w:before="64"/>
              <w:ind w:left="113"/>
              <w:rPr>
                <w:sz w:val="20"/>
              </w:rPr>
            </w:pPr>
            <w:r>
              <w:rPr>
                <w:w w:val="115"/>
                <w:sz w:val="20"/>
              </w:rPr>
              <w:t>997</w:t>
            </w:r>
          </w:p>
        </w:tc>
        <w:tc>
          <w:tcPr>
            <w:tcW w:w="2042" w:type="dxa"/>
          </w:tcPr>
          <w:p>
            <w:pPr>
              <w:pStyle w:val="TableParagraph"/>
              <w:spacing w:before="64"/>
              <w:ind w:left="114"/>
              <w:rPr>
                <w:sz w:val="20"/>
              </w:rPr>
            </w:pPr>
            <w:r>
              <w:rPr>
                <w:w w:val="110"/>
                <w:sz w:val="20"/>
              </w:rPr>
              <w:t>1.719</w:t>
            </w:r>
          </w:p>
        </w:tc>
      </w:tr>
      <w:tr>
        <w:trPr>
          <w:trHeight w:val="363" w:hRule="atLeast"/>
        </w:trPr>
        <w:tc>
          <w:tcPr>
            <w:tcW w:w="5696" w:type="dxa"/>
            <w:gridSpan w:val="2"/>
          </w:tcPr>
          <w:p>
            <w:pPr>
              <w:pStyle w:val="TableParagraph"/>
              <w:spacing w:before="64"/>
              <w:rPr>
                <w:sz w:val="20"/>
              </w:rPr>
            </w:pPr>
            <w:r>
              <w:rPr>
                <w:w w:val="115"/>
                <w:sz w:val="20"/>
              </w:rPr>
              <w:t>6.Masa de cel puţin 31 tone, dar mai mică de 33 tone</w:t>
            </w:r>
          </w:p>
        </w:tc>
        <w:tc>
          <w:tcPr>
            <w:tcW w:w="2041" w:type="dxa"/>
            <w:gridSpan w:val="2"/>
          </w:tcPr>
          <w:p>
            <w:pPr>
              <w:pStyle w:val="TableParagraph"/>
              <w:spacing w:before="64"/>
              <w:ind w:left="113"/>
              <w:rPr>
                <w:sz w:val="20"/>
              </w:rPr>
            </w:pPr>
            <w:r>
              <w:rPr>
                <w:w w:val="110"/>
                <w:sz w:val="20"/>
              </w:rPr>
              <w:t>1.636</w:t>
            </w:r>
          </w:p>
        </w:tc>
        <w:tc>
          <w:tcPr>
            <w:tcW w:w="2042" w:type="dxa"/>
          </w:tcPr>
          <w:p>
            <w:pPr>
              <w:pStyle w:val="TableParagraph"/>
              <w:spacing w:before="64"/>
              <w:ind w:left="114"/>
              <w:rPr>
                <w:sz w:val="20"/>
              </w:rPr>
            </w:pPr>
            <w:r>
              <w:rPr>
                <w:w w:val="110"/>
                <w:sz w:val="20"/>
              </w:rPr>
              <w:t>2.388</w:t>
            </w:r>
          </w:p>
        </w:tc>
      </w:tr>
      <w:tr>
        <w:trPr>
          <w:trHeight w:val="363" w:hRule="atLeast"/>
        </w:trPr>
        <w:tc>
          <w:tcPr>
            <w:tcW w:w="5696" w:type="dxa"/>
            <w:gridSpan w:val="2"/>
          </w:tcPr>
          <w:p>
            <w:pPr>
              <w:pStyle w:val="TableParagraph"/>
              <w:spacing w:before="64"/>
              <w:rPr>
                <w:sz w:val="20"/>
              </w:rPr>
            </w:pPr>
            <w:r>
              <w:rPr>
                <w:w w:val="115"/>
                <w:sz w:val="20"/>
              </w:rPr>
              <w:t>7. Masa de cel puţin 33 tone, dar mai mică de 36 tone</w:t>
            </w:r>
          </w:p>
        </w:tc>
        <w:tc>
          <w:tcPr>
            <w:tcW w:w="2041" w:type="dxa"/>
            <w:gridSpan w:val="2"/>
          </w:tcPr>
          <w:p>
            <w:pPr>
              <w:pStyle w:val="TableParagraph"/>
              <w:spacing w:before="64"/>
              <w:ind w:left="113"/>
              <w:rPr>
                <w:sz w:val="20"/>
              </w:rPr>
            </w:pPr>
            <w:r>
              <w:rPr>
                <w:w w:val="110"/>
                <w:sz w:val="20"/>
              </w:rPr>
              <w:t>2.272</w:t>
            </w:r>
          </w:p>
        </w:tc>
        <w:tc>
          <w:tcPr>
            <w:tcW w:w="2042" w:type="dxa"/>
          </w:tcPr>
          <w:p>
            <w:pPr>
              <w:pStyle w:val="TableParagraph"/>
              <w:spacing w:before="64"/>
              <w:ind w:left="114"/>
              <w:rPr>
                <w:sz w:val="20"/>
              </w:rPr>
            </w:pPr>
            <w:r>
              <w:rPr>
                <w:w w:val="110"/>
                <w:sz w:val="20"/>
              </w:rPr>
              <w:t>3.625</w:t>
            </w:r>
          </w:p>
        </w:tc>
      </w:tr>
      <w:tr>
        <w:trPr>
          <w:trHeight w:val="363" w:hRule="atLeast"/>
        </w:trPr>
        <w:tc>
          <w:tcPr>
            <w:tcW w:w="5696" w:type="dxa"/>
            <w:gridSpan w:val="2"/>
          </w:tcPr>
          <w:p>
            <w:pPr>
              <w:pStyle w:val="TableParagraph"/>
              <w:spacing w:before="64"/>
              <w:rPr>
                <w:sz w:val="20"/>
              </w:rPr>
            </w:pPr>
            <w:r>
              <w:rPr>
                <w:w w:val="115"/>
                <w:sz w:val="20"/>
              </w:rPr>
              <w:t>8. Masa de cel puţin 36 tone, dar mai mică de 38 tone</w:t>
            </w:r>
          </w:p>
        </w:tc>
        <w:tc>
          <w:tcPr>
            <w:tcW w:w="2041" w:type="dxa"/>
            <w:gridSpan w:val="2"/>
          </w:tcPr>
          <w:p>
            <w:pPr>
              <w:pStyle w:val="TableParagraph"/>
              <w:spacing w:before="64"/>
              <w:ind w:left="113"/>
              <w:rPr>
                <w:sz w:val="20"/>
              </w:rPr>
            </w:pPr>
            <w:r>
              <w:rPr>
                <w:w w:val="110"/>
                <w:sz w:val="20"/>
              </w:rPr>
              <w:t>2.272</w:t>
            </w:r>
          </w:p>
        </w:tc>
        <w:tc>
          <w:tcPr>
            <w:tcW w:w="2042" w:type="dxa"/>
          </w:tcPr>
          <w:p>
            <w:pPr>
              <w:pStyle w:val="TableParagraph"/>
              <w:spacing w:before="64"/>
              <w:ind w:left="114"/>
              <w:rPr>
                <w:sz w:val="20"/>
              </w:rPr>
            </w:pPr>
            <w:r>
              <w:rPr>
                <w:w w:val="110"/>
                <w:sz w:val="20"/>
              </w:rPr>
              <w:t>3.625</w:t>
            </w:r>
          </w:p>
        </w:tc>
      </w:tr>
      <w:tr>
        <w:trPr>
          <w:trHeight w:val="363" w:hRule="atLeast"/>
        </w:trPr>
        <w:tc>
          <w:tcPr>
            <w:tcW w:w="5696" w:type="dxa"/>
            <w:gridSpan w:val="2"/>
          </w:tcPr>
          <w:p>
            <w:pPr>
              <w:pStyle w:val="TableParagraph"/>
              <w:spacing w:before="64"/>
              <w:rPr>
                <w:sz w:val="20"/>
              </w:rPr>
            </w:pPr>
            <w:r>
              <w:rPr>
                <w:w w:val="110"/>
                <w:sz w:val="20"/>
              </w:rPr>
              <w:t>9. Masa de cel puţin 38 tone</w:t>
            </w:r>
          </w:p>
        </w:tc>
        <w:tc>
          <w:tcPr>
            <w:tcW w:w="2041" w:type="dxa"/>
            <w:gridSpan w:val="2"/>
          </w:tcPr>
          <w:p>
            <w:pPr>
              <w:pStyle w:val="TableParagraph"/>
              <w:spacing w:before="64"/>
              <w:ind w:left="113"/>
              <w:rPr>
                <w:sz w:val="20"/>
              </w:rPr>
            </w:pPr>
            <w:r>
              <w:rPr>
                <w:w w:val="110"/>
                <w:sz w:val="20"/>
              </w:rPr>
              <w:t>2.272</w:t>
            </w:r>
          </w:p>
        </w:tc>
        <w:tc>
          <w:tcPr>
            <w:tcW w:w="2042" w:type="dxa"/>
          </w:tcPr>
          <w:p>
            <w:pPr>
              <w:pStyle w:val="TableParagraph"/>
              <w:spacing w:before="64"/>
              <w:ind w:left="114"/>
              <w:rPr>
                <w:sz w:val="20"/>
              </w:rPr>
            </w:pPr>
            <w:r>
              <w:rPr>
                <w:w w:val="110"/>
                <w:sz w:val="20"/>
              </w:rPr>
              <w:t>3.625</w:t>
            </w:r>
          </w:p>
        </w:tc>
      </w:tr>
      <w:tr>
        <w:trPr>
          <w:trHeight w:val="363" w:hRule="atLeast"/>
        </w:trPr>
        <w:tc>
          <w:tcPr>
            <w:tcW w:w="9779" w:type="dxa"/>
            <w:gridSpan w:val="5"/>
          </w:tcPr>
          <w:p>
            <w:pPr>
              <w:pStyle w:val="TableParagraph"/>
              <w:spacing w:before="67"/>
              <w:rPr>
                <w:rFonts w:ascii="Arial"/>
                <w:b/>
                <w:sz w:val="20"/>
              </w:rPr>
            </w:pPr>
            <w:r>
              <w:rPr>
                <w:rFonts w:ascii="Arial"/>
                <w:b/>
                <w:sz w:val="20"/>
              </w:rPr>
              <w:t>III VEHICULE CU 2+3 AXE</w:t>
            </w:r>
          </w:p>
        </w:tc>
      </w:tr>
      <w:tr>
        <w:trPr>
          <w:trHeight w:val="363" w:hRule="atLeast"/>
        </w:trPr>
        <w:tc>
          <w:tcPr>
            <w:tcW w:w="5696" w:type="dxa"/>
            <w:gridSpan w:val="2"/>
          </w:tcPr>
          <w:p>
            <w:pPr>
              <w:pStyle w:val="TableParagraph"/>
              <w:spacing w:before="64"/>
              <w:rPr>
                <w:sz w:val="20"/>
              </w:rPr>
            </w:pPr>
            <w:r>
              <w:rPr>
                <w:w w:val="115"/>
                <w:sz w:val="20"/>
              </w:rPr>
              <w:t>1. Masa de cel puţin 36 tone, dar mai mică de 38 tone</w:t>
            </w:r>
          </w:p>
        </w:tc>
        <w:tc>
          <w:tcPr>
            <w:tcW w:w="1719" w:type="dxa"/>
          </w:tcPr>
          <w:p>
            <w:pPr>
              <w:pStyle w:val="TableParagraph"/>
              <w:spacing w:before="64"/>
              <w:ind w:left="113"/>
              <w:rPr>
                <w:sz w:val="20"/>
              </w:rPr>
            </w:pPr>
            <w:r>
              <w:rPr>
                <w:w w:val="110"/>
                <w:sz w:val="20"/>
              </w:rPr>
              <w:t>1.809</w:t>
            </w:r>
          </w:p>
        </w:tc>
        <w:tc>
          <w:tcPr>
            <w:tcW w:w="2364" w:type="dxa"/>
            <w:gridSpan w:val="2"/>
          </w:tcPr>
          <w:p>
            <w:pPr>
              <w:pStyle w:val="TableParagraph"/>
              <w:spacing w:before="64"/>
              <w:ind w:left="113"/>
              <w:rPr>
                <w:sz w:val="20"/>
              </w:rPr>
            </w:pPr>
            <w:r>
              <w:rPr>
                <w:w w:val="110"/>
                <w:sz w:val="20"/>
              </w:rPr>
              <w:t>2.645</w:t>
            </w:r>
          </w:p>
        </w:tc>
      </w:tr>
      <w:tr>
        <w:trPr>
          <w:trHeight w:val="363" w:hRule="atLeast"/>
        </w:trPr>
        <w:tc>
          <w:tcPr>
            <w:tcW w:w="5696" w:type="dxa"/>
            <w:gridSpan w:val="2"/>
          </w:tcPr>
          <w:p>
            <w:pPr>
              <w:pStyle w:val="TableParagraph"/>
              <w:spacing w:before="64"/>
              <w:rPr>
                <w:sz w:val="20"/>
              </w:rPr>
            </w:pPr>
            <w:r>
              <w:rPr>
                <w:w w:val="115"/>
                <w:sz w:val="20"/>
              </w:rPr>
              <w:t>2. Masa de cel puţin 38 tone, dar mai mică de 40 tone</w:t>
            </w:r>
          </w:p>
        </w:tc>
        <w:tc>
          <w:tcPr>
            <w:tcW w:w="1719" w:type="dxa"/>
          </w:tcPr>
          <w:p>
            <w:pPr>
              <w:pStyle w:val="TableParagraph"/>
              <w:spacing w:before="64"/>
              <w:ind w:left="113"/>
              <w:rPr>
                <w:sz w:val="20"/>
              </w:rPr>
            </w:pPr>
            <w:r>
              <w:rPr>
                <w:w w:val="110"/>
                <w:sz w:val="20"/>
              </w:rPr>
              <w:t>2.517</w:t>
            </w:r>
          </w:p>
        </w:tc>
        <w:tc>
          <w:tcPr>
            <w:tcW w:w="2364" w:type="dxa"/>
            <w:gridSpan w:val="2"/>
          </w:tcPr>
          <w:p>
            <w:pPr>
              <w:pStyle w:val="TableParagraph"/>
              <w:spacing w:before="64"/>
              <w:ind w:left="113"/>
              <w:rPr>
                <w:sz w:val="20"/>
              </w:rPr>
            </w:pPr>
            <w:r>
              <w:rPr>
                <w:w w:val="110"/>
                <w:sz w:val="20"/>
              </w:rPr>
              <w:t>3.594</w:t>
            </w:r>
          </w:p>
        </w:tc>
      </w:tr>
      <w:tr>
        <w:trPr>
          <w:trHeight w:val="363" w:hRule="atLeast"/>
        </w:trPr>
        <w:tc>
          <w:tcPr>
            <w:tcW w:w="5696" w:type="dxa"/>
            <w:gridSpan w:val="2"/>
          </w:tcPr>
          <w:p>
            <w:pPr>
              <w:pStyle w:val="TableParagraph"/>
              <w:spacing w:before="64"/>
              <w:rPr>
                <w:sz w:val="20"/>
              </w:rPr>
            </w:pPr>
            <w:r>
              <w:rPr>
                <w:w w:val="110"/>
                <w:sz w:val="20"/>
              </w:rPr>
              <w:t>3. Masa de cel puţin 40 tone</w:t>
            </w:r>
          </w:p>
        </w:tc>
        <w:tc>
          <w:tcPr>
            <w:tcW w:w="1719" w:type="dxa"/>
          </w:tcPr>
          <w:p>
            <w:pPr>
              <w:pStyle w:val="TableParagraph"/>
              <w:spacing w:before="64"/>
              <w:ind w:left="113"/>
              <w:rPr>
                <w:sz w:val="20"/>
              </w:rPr>
            </w:pPr>
            <w:r>
              <w:rPr>
                <w:w w:val="110"/>
                <w:sz w:val="20"/>
              </w:rPr>
              <w:t>2.517</w:t>
            </w:r>
          </w:p>
        </w:tc>
        <w:tc>
          <w:tcPr>
            <w:tcW w:w="2364" w:type="dxa"/>
            <w:gridSpan w:val="2"/>
          </w:tcPr>
          <w:p>
            <w:pPr>
              <w:pStyle w:val="TableParagraph"/>
              <w:spacing w:before="64"/>
              <w:ind w:left="113"/>
              <w:rPr>
                <w:sz w:val="20"/>
              </w:rPr>
            </w:pPr>
            <w:r>
              <w:rPr>
                <w:w w:val="110"/>
                <w:sz w:val="20"/>
              </w:rPr>
              <w:t>3.594</w:t>
            </w:r>
          </w:p>
        </w:tc>
      </w:tr>
      <w:tr>
        <w:trPr>
          <w:trHeight w:val="363" w:hRule="atLeast"/>
        </w:trPr>
        <w:tc>
          <w:tcPr>
            <w:tcW w:w="9779" w:type="dxa"/>
            <w:gridSpan w:val="5"/>
          </w:tcPr>
          <w:p>
            <w:pPr>
              <w:pStyle w:val="TableParagraph"/>
              <w:spacing w:before="67"/>
              <w:rPr>
                <w:rFonts w:ascii="Arial"/>
                <w:b/>
                <w:sz w:val="20"/>
              </w:rPr>
            </w:pPr>
            <w:r>
              <w:rPr>
                <w:rFonts w:ascii="Arial"/>
                <w:b/>
                <w:sz w:val="20"/>
              </w:rPr>
              <w:t>IV VEHICULE CU 3+2 AXE</w:t>
            </w:r>
          </w:p>
        </w:tc>
      </w:tr>
      <w:tr>
        <w:trPr>
          <w:trHeight w:val="363" w:hRule="atLeast"/>
        </w:trPr>
        <w:tc>
          <w:tcPr>
            <w:tcW w:w="5466" w:type="dxa"/>
          </w:tcPr>
          <w:p>
            <w:pPr>
              <w:pStyle w:val="TableParagraph"/>
              <w:spacing w:before="64"/>
              <w:rPr>
                <w:sz w:val="20"/>
              </w:rPr>
            </w:pPr>
            <w:r>
              <w:rPr>
                <w:w w:val="115"/>
                <w:sz w:val="20"/>
              </w:rPr>
              <w:t>1. Masa de cel puţin 36 tone, dar mai mică de 38 tone</w:t>
            </w:r>
          </w:p>
        </w:tc>
        <w:tc>
          <w:tcPr>
            <w:tcW w:w="1949" w:type="dxa"/>
            <w:gridSpan w:val="2"/>
          </w:tcPr>
          <w:p>
            <w:pPr>
              <w:pStyle w:val="TableParagraph"/>
              <w:spacing w:before="64"/>
              <w:rPr>
                <w:sz w:val="20"/>
              </w:rPr>
            </w:pPr>
            <w:r>
              <w:rPr>
                <w:w w:val="110"/>
                <w:sz w:val="20"/>
              </w:rPr>
              <w:t>1.597</w:t>
            </w:r>
          </w:p>
        </w:tc>
        <w:tc>
          <w:tcPr>
            <w:tcW w:w="2364" w:type="dxa"/>
            <w:gridSpan w:val="2"/>
          </w:tcPr>
          <w:p>
            <w:pPr>
              <w:pStyle w:val="TableParagraph"/>
              <w:spacing w:before="64"/>
              <w:ind w:left="113"/>
              <w:rPr>
                <w:sz w:val="20"/>
              </w:rPr>
            </w:pPr>
            <w:r>
              <w:rPr>
                <w:w w:val="110"/>
                <w:sz w:val="20"/>
              </w:rPr>
              <w:t>2.331</w:t>
            </w:r>
          </w:p>
        </w:tc>
      </w:tr>
      <w:tr>
        <w:trPr>
          <w:trHeight w:val="363" w:hRule="atLeast"/>
        </w:trPr>
        <w:tc>
          <w:tcPr>
            <w:tcW w:w="5466" w:type="dxa"/>
          </w:tcPr>
          <w:p>
            <w:pPr>
              <w:pStyle w:val="TableParagraph"/>
              <w:spacing w:before="64"/>
              <w:rPr>
                <w:sz w:val="20"/>
              </w:rPr>
            </w:pPr>
            <w:r>
              <w:rPr>
                <w:w w:val="115"/>
                <w:sz w:val="20"/>
              </w:rPr>
              <w:t>2. Masa de cel puţin 38 tone, dar mai mică de 40 tone</w:t>
            </w:r>
          </w:p>
        </w:tc>
        <w:tc>
          <w:tcPr>
            <w:tcW w:w="1949" w:type="dxa"/>
            <w:gridSpan w:val="2"/>
          </w:tcPr>
          <w:p>
            <w:pPr>
              <w:pStyle w:val="TableParagraph"/>
              <w:spacing w:before="64"/>
              <w:rPr>
                <w:sz w:val="20"/>
              </w:rPr>
            </w:pPr>
            <w:r>
              <w:rPr>
                <w:w w:val="110"/>
                <w:sz w:val="20"/>
              </w:rPr>
              <w:t>2.218</w:t>
            </w:r>
          </w:p>
        </w:tc>
        <w:tc>
          <w:tcPr>
            <w:tcW w:w="2364" w:type="dxa"/>
            <w:gridSpan w:val="2"/>
          </w:tcPr>
          <w:p>
            <w:pPr>
              <w:pStyle w:val="TableParagraph"/>
              <w:spacing w:before="64"/>
              <w:ind w:left="113"/>
              <w:rPr>
                <w:sz w:val="20"/>
              </w:rPr>
            </w:pPr>
            <w:r>
              <w:rPr>
                <w:w w:val="110"/>
                <w:sz w:val="20"/>
              </w:rPr>
              <w:t>3.224</w:t>
            </w:r>
          </w:p>
        </w:tc>
      </w:tr>
      <w:tr>
        <w:trPr>
          <w:trHeight w:val="363" w:hRule="atLeast"/>
        </w:trPr>
        <w:tc>
          <w:tcPr>
            <w:tcW w:w="5466" w:type="dxa"/>
          </w:tcPr>
          <w:p>
            <w:pPr>
              <w:pStyle w:val="TableParagraph"/>
              <w:spacing w:before="64"/>
              <w:rPr>
                <w:sz w:val="20"/>
              </w:rPr>
            </w:pPr>
            <w:r>
              <w:rPr>
                <w:w w:val="115"/>
                <w:sz w:val="20"/>
              </w:rPr>
              <w:t>3. Masa de cel puţin 40 tone, dar mai mică de 44 tone</w:t>
            </w:r>
          </w:p>
        </w:tc>
        <w:tc>
          <w:tcPr>
            <w:tcW w:w="1949" w:type="dxa"/>
            <w:gridSpan w:val="2"/>
          </w:tcPr>
          <w:p>
            <w:pPr>
              <w:pStyle w:val="TableParagraph"/>
              <w:spacing w:before="64"/>
              <w:rPr>
                <w:sz w:val="20"/>
              </w:rPr>
            </w:pPr>
            <w:r>
              <w:rPr>
                <w:w w:val="110"/>
                <w:sz w:val="20"/>
              </w:rPr>
              <w:t>3.068</w:t>
            </w:r>
          </w:p>
        </w:tc>
        <w:tc>
          <w:tcPr>
            <w:tcW w:w="2364" w:type="dxa"/>
            <w:gridSpan w:val="2"/>
          </w:tcPr>
          <w:p>
            <w:pPr>
              <w:pStyle w:val="TableParagraph"/>
              <w:spacing w:before="64"/>
              <w:ind w:left="113"/>
              <w:rPr>
                <w:sz w:val="20"/>
              </w:rPr>
            </w:pPr>
            <w:r>
              <w:rPr>
                <w:w w:val="110"/>
                <w:sz w:val="20"/>
              </w:rPr>
              <w:t>4.770</w:t>
            </w:r>
          </w:p>
        </w:tc>
      </w:tr>
      <w:tr>
        <w:trPr>
          <w:trHeight w:val="363" w:hRule="atLeast"/>
        </w:trPr>
        <w:tc>
          <w:tcPr>
            <w:tcW w:w="5466" w:type="dxa"/>
          </w:tcPr>
          <w:p>
            <w:pPr>
              <w:pStyle w:val="TableParagraph"/>
              <w:spacing w:before="64"/>
              <w:rPr>
                <w:sz w:val="20"/>
              </w:rPr>
            </w:pPr>
            <w:r>
              <w:rPr>
                <w:w w:val="110"/>
                <w:sz w:val="20"/>
              </w:rPr>
              <w:t>4. Masa de cel puţin 44 tone</w:t>
            </w:r>
          </w:p>
        </w:tc>
        <w:tc>
          <w:tcPr>
            <w:tcW w:w="1949" w:type="dxa"/>
            <w:gridSpan w:val="2"/>
          </w:tcPr>
          <w:p>
            <w:pPr>
              <w:pStyle w:val="TableParagraph"/>
              <w:spacing w:before="64"/>
              <w:rPr>
                <w:sz w:val="20"/>
              </w:rPr>
            </w:pPr>
            <w:r>
              <w:rPr>
                <w:w w:val="110"/>
                <w:sz w:val="20"/>
              </w:rPr>
              <w:t>3.068</w:t>
            </w:r>
          </w:p>
        </w:tc>
        <w:tc>
          <w:tcPr>
            <w:tcW w:w="2364" w:type="dxa"/>
            <w:gridSpan w:val="2"/>
          </w:tcPr>
          <w:p>
            <w:pPr>
              <w:pStyle w:val="TableParagraph"/>
              <w:spacing w:before="64"/>
              <w:ind w:left="113"/>
              <w:rPr>
                <w:sz w:val="20"/>
              </w:rPr>
            </w:pPr>
            <w:r>
              <w:rPr>
                <w:w w:val="110"/>
                <w:sz w:val="20"/>
              </w:rPr>
              <w:t>4.770</w:t>
            </w:r>
          </w:p>
        </w:tc>
      </w:tr>
      <w:tr>
        <w:trPr>
          <w:trHeight w:val="363" w:hRule="atLeast"/>
        </w:trPr>
        <w:tc>
          <w:tcPr>
            <w:tcW w:w="9779" w:type="dxa"/>
            <w:gridSpan w:val="5"/>
          </w:tcPr>
          <w:p>
            <w:pPr>
              <w:pStyle w:val="TableParagraph"/>
              <w:spacing w:before="67"/>
              <w:rPr>
                <w:rFonts w:ascii="Arial"/>
                <w:b/>
                <w:sz w:val="20"/>
              </w:rPr>
            </w:pPr>
            <w:r>
              <w:rPr>
                <w:rFonts w:ascii="Arial"/>
                <w:b/>
                <w:sz w:val="20"/>
              </w:rPr>
              <w:t>V VEHICULE CU 3+3 AXE</w:t>
            </w:r>
          </w:p>
        </w:tc>
      </w:tr>
      <w:tr>
        <w:trPr>
          <w:trHeight w:val="363" w:hRule="atLeast"/>
        </w:trPr>
        <w:tc>
          <w:tcPr>
            <w:tcW w:w="5466" w:type="dxa"/>
          </w:tcPr>
          <w:p>
            <w:pPr>
              <w:pStyle w:val="TableParagraph"/>
              <w:spacing w:before="64"/>
              <w:rPr>
                <w:sz w:val="20"/>
              </w:rPr>
            </w:pPr>
            <w:r>
              <w:rPr>
                <w:w w:val="115"/>
                <w:sz w:val="20"/>
              </w:rPr>
              <w:t>1. Masa de cel puţin 36 tone, dar mai mică de 38 tone</w:t>
            </w:r>
          </w:p>
        </w:tc>
        <w:tc>
          <w:tcPr>
            <w:tcW w:w="1949" w:type="dxa"/>
            <w:gridSpan w:val="2"/>
          </w:tcPr>
          <w:p>
            <w:pPr>
              <w:pStyle w:val="TableParagraph"/>
              <w:spacing w:before="64"/>
              <w:rPr>
                <w:sz w:val="20"/>
              </w:rPr>
            </w:pPr>
            <w:r>
              <w:rPr>
                <w:w w:val="115"/>
                <w:sz w:val="20"/>
              </w:rPr>
              <w:t>908</w:t>
            </w:r>
          </w:p>
        </w:tc>
        <w:tc>
          <w:tcPr>
            <w:tcW w:w="2364" w:type="dxa"/>
            <w:gridSpan w:val="2"/>
          </w:tcPr>
          <w:p>
            <w:pPr>
              <w:pStyle w:val="TableParagraph"/>
              <w:spacing w:before="64"/>
              <w:ind w:left="113"/>
              <w:rPr>
                <w:sz w:val="20"/>
              </w:rPr>
            </w:pPr>
            <w:r>
              <w:rPr>
                <w:w w:val="110"/>
                <w:sz w:val="20"/>
              </w:rPr>
              <w:t>1.155</w:t>
            </w:r>
          </w:p>
        </w:tc>
      </w:tr>
      <w:tr>
        <w:trPr>
          <w:trHeight w:val="363" w:hRule="atLeast"/>
        </w:trPr>
        <w:tc>
          <w:tcPr>
            <w:tcW w:w="5466" w:type="dxa"/>
          </w:tcPr>
          <w:p>
            <w:pPr>
              <w:pStyle w:val="TableParagraph"/>
              <w:spacing w:before="64"/>
              <w:rPr>
                <w:sz w:val="20"/>
              </w:rPr>
            </w:pPr>
            <w:r>
              <w:rPr>
                <w:w w:val="115"/>
                <w:sz w:val="20"/>
              </w:rPr>
              <w:t>2. Masa de cel puţin 38 tone, dar mai mică de 40 tone</w:t>
            </w:r>
          </w:p>
        </w:tc>
        <w:tc>
          <w:tcPr>
            <w:tcW w:w="1949" w:type="dxa"/>
            <w:gridSpan w:val="2"/>
          </w:tcPr>
          <w:p>
            <w:pPr>
              <w:pStyle w:val="TableParagraph"/>
              <w:spacing w:before="64"/>
              <w:rPr>
                <w:sz w:val="20"/>
              </w:rPr>
            </w:pPr>
            <w:r>
              <w:rPr>
                <w:w w:val="110"/>
                <w:sz w:val="20"/>
              </w:rPr>
              <w:t>1.099</w:t>
            </w:r>
          </w:p>
        </w:tc>
        <w:tc>
          <w:tcPr>
            <w:tcW w:w="2364" w:type="dxa"/>
            <w:gridSpan w:val="2"/>
          </w:tcPr>
          <w:p>
            <w:pPr>
              <w:pStyle w:val="TableParagraph"/>
              <w:spacing w:before="64"/>
              <w:ind w:left="113"/>
              <w:rPr>
                <w:sz w:val="20"/>
              </w:rPr>
            </w:pPr>
            <w:r>
              <w:rPr>
                <w:w w:val="110"/>
                <w:sz w:val="20"/>
              </w:rPr>
              <w:t>1.727</w:t>
            </w:r>
          </w:p>
        </w:tc>
      </w:tr>
      <w:tr>
        <w:trPr>
          <w:trHeight w:val="363" w:hRule="atLeast"/>
        </w:trPr>
        <w:tc>
          <w:tcPr>
            <w:tcW w:w="5466" w:type="dxa"/>
          </w:tcPr>
          <w:p>
            <w:pPr>
              <w:pStyle w:val="TableParagraph"/>
              <w:spacing w:before="64"/>
              <w:rPr>
                <w:sz w:val="20"/>
              </w:rPr>
            </w:pPr>
            <w:r>
              <w:rPr>
                <w:w w:val="115"/>
                <w:sz w:val="20"/>
              </w:rPr>
              <w:t>3. Masa de cel puţin 40 tone, dar mai mică de 44 tone</w:t>
            </w:r>
          </w:p>
        </w:tc>
        <w:tc>
          <w:tcPr>
            <w:tcW w:w="1949" w:type="dxa"/>
            <w:gridSpan w:val="2"/>
          </w:tcPr>
          <w:p>
            <w:pPr>
              <w:pStyle w:val="TableParagraph"/>
              <w:spacing w:before="64"/>
              <w:rPr>
                <w:sz w:val="20"/>
              </w:rPr>
            </w:pPr>
            <w:r>
              <w:rPr>
                <w:w w:val="110"/>
                <w:sz w:val="20"/>
              </w:rPr>
              <w:t>1.643</w:t>
            </w:r>
          </w:p>
        </w:tc>
        <w:tc>
          <w:tcPr>
            <w:tcW w:w="2364" w:type="dxa"/>
            <w:gridSpan w:val="2"/>
          </w:tcPr>
          <w:p>
            <w:pPr>
              <w:pStyle w:val="TableParagraph"/>
              <w:spacing w:before="64"/>
              <w:ind w:left="113"/>
              <w:rPr>
                <w:sz w:val="20"/>
              </w:rPr>
            </w:pPr>
            <w:r>
              <w:rPr>
                <w:w w:val="110"/>
                <w:sz w:val="20"/>
              </w:rPr>
              <w:t>2.746</w:t>
            </w:r>
          </w:p>
        </w:tc>
      </w:tr>
      <w:tr>
        <w:trPr>
          <w:trHeight w:val="363" w:hRule="atLeast"/>
        </w:trPr>
        <w:tc>
          <w:tcPr>
            <w:tcW w:w="5466" w:type="dxa"/>
          </w:tcPr>
          <w:p>
            <w:pPr>
              <w:pStyle w:val="TableParagraph"/>
              <w:spacing w:before="64"/>
              <w:rPr>
                <w:sz w:val="20"/>
              </w:rPr>
            </w:pPr>
            <w:r>
              <w:rPr>
                <w:w w:val="110"/>
                <w:sz w:val="20"/>
              </w:rPr>
              <w:t>4. Masa de cel puţin 44 tone</w:t>
            </w:r>
          </w:p>
        </w:tc>
        <w:tc>
          <w:tcPr>
            <w:tcW w:w="1949" w:type="dxa"/>
            <w:gridSpan w:val="2"/>
          </w:tcPr>
          <w:p>
            <w:pPr>
              <w:pStyle w:val="TableParagraph"/>
              <w:spacing w:before="64"/>
              <w:rPr>
                <w:sz w:val="20"/>
              </w:rPr>
            </w:pPr>
            <w:r>
              <w:rPr>
                <w:w w:val="110"/>
                <w:sz w:val="20"/>
              </w:rPr>
              <w:t>1.643</w:t>
            </w:r>
          </w:p>
        </w:tc>
        <w:tc>
          <w:tcPr>
            <w:tcW w:w="2364" w:type="dxa"/>
            <w:gridSpan w:val="2"/>
          </w:tcPr>
          <w:p>
            <w:pPr>
              <w:pStyle w:val="TableParagraph"/>
              <w:spacing w:before="64"/>
              <w:ind w:left="113"/>
              <w:rPr>
                <w:sz w:val="20"/>
              </w:rPr>
            </w:pPr>
            <w:r>
              <w:rPr>
                <w:w w:val="110"/>
                <w:sz w:val="20"/>
              </w:rPr>
              <w:t>2.746</w:t>
            </w:r>
          </w:p>
        </w:tc>
      </w:tr>
    </w:tbl>
    <w:p>
      <w:pPr>
        <w:spacing w:after="0"/>
        <w:rPr>
          <w:sz w:val="20"/>
        </w:rPr>
        <w:sectPr>
          <w:pgSz w:w="11900" w:h="16840"/>
          <w:pgMar w:header="0" w:footer="280" w:top="580" w:bottom="480" w:left="1140" w:right="740"/>
        </w:sect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5466"/>
        <w:gridCol w:w="230"/>
        <w:gridCol w:w="1719"/>
        <w:gridCol w:w="322"/>
        <w:gridCol w:w="2042"/>
      </w:tblGrid>
      <w:tr>
        <w:trPr>
          <w:trHeight w:val="363" w:hRule="atLeast"/>
        </w:trPr>
        <w:tc>
          <w:tcPr>
            <w:tcW w:w="5466" w:type="dxa"/>
          </w:tcPr>
          <w:p>
            <w:pPr>
              <w:pStyle w:val="TableParagraph"/>
              <w:spacing w:before="0"/>
              <w:ind w:left="0"/>
              <w:rPr>
                <w:rFonts w:ascii="Times New Roman"/>
                <w:sz w:val="18"/>
              </w:rPr>
            </w:pPr>
          </w:p>
        </w:tc>
        <w:tc>
          <w:tcPr>
            <w:tcW w:w="230" w:type="dxa"/>
          </w:tcPr>
          <w:p>
            <w:pPr>
              <w:pStyle w:val="TableParagraph"/>
              <w:spacing w:before="0"/>
              <w:ind w:left="0"/>
              <w:rPr>
                <w:rFonts w:ascii="Times New Roman"/>
                <w:sz w:val="18"/>
              </w:rPr>
            </w:pPr>
          </w:p>
        </w:tc>
        <w:tc>
          <w:tcPr>
            <w:tcW w:w="1719" w:type="dxa"/>
          </w:tcPr>
          <w:p>
            <w:pPr>
              <w:pStyle w:val="TableParagraph"/>
              <w:spacing w:before="0"/>
              <w:ind w:left="0"/>
              <w:rPr>
                <w:rFonts w:ascii="Times New Roman"/>
                <w:sz w:val="18"/>
              </w:rPr>
            </w:pPr>
          </w:p>
        </w:tc>
        <w:tc>
          <w:tcPr>
            <w:tcW w:w="322" w:type="dxa"/>
          </w:tcPr>
          <w:p>
            <w:pPr>
              <w:pStyle w:val="TableParagraph"/>
              <w:spacing w:before="0"/>
              <w:ind w:left="0"/>
              <w:rPr>
                <w:rFonts w:ascii="Times New Roman"/>
                <w:sz w:val="18"/>
              </w:rPr>
            </w:pPr>
          </w:p>
        </w:tc>
        <w:tc>
          <w:tcPr>
            <w:tcW w:w="2042" w:type="dxa"/>
          </w:tcPr>
          <w:p>
            <w:pPr>
              <w:pStyle w:val="TableParagraph"/>
              <w:spacing w:before="0"/>
              <w:ind w:left="0"/>
              <w:rPr>
                <w:rFonts w:ascii="Times New Roman"/>
                <w:sz w:val="18"/>
              </w:rPr>
            </w:pPr>
          </w:p>
        </w:tc>
      </w:tr>
    </w:tbl>
    <w:p>
      <w:pPr>
        <w:pStyle w:val="BodyText"/>
        <w:spacing w:before="0"/>
        <w:ind w:left="0"/>
        <w:jc w:val="left"/>
      </w:pPr>
    </w:p>
    <w:p>
      <w:pPr>
        <w:pStyle w:val="BodyText"/>
        <w:spacing w:before="1"/>
        <w:ind w:left="0"/>
        <w:jc w:val="left"/>
        <w:rPr>
          <w:sz w:val="18"/>
        </w:rPr>
      </w:pPr>
    </w:p>
    <w:p>
      <w:pPr>
        <w:pStyle w:val="ListParagraph"/>
        <w:numPr>
          <w:ilvl w:val="0"/>
          <w:numId w:val="20"/>
        </w:numPr>
        <w:tabs>
          <w:tab w:pos="383" w:val="left" w:leader="none"/>
        </w:tabs>
        <w:spacing w:line="271" w:lineRule="auto" w:before="123" w:after="0"/>
        <w:ind w:left="108" w:right="113" w:firstLine="0"/>
        <w:jc w:val="both"/>
        <w:rPr>
          <w:sz w:val="20"/>
        </w:rPr>
      </w:pPr>
      <w:r>
        <w:rPr>
          <w:w w:val="115"/>
          <w:sz w:val="20"/>
        </w:rPr>
        <w:t>În cazul unei remorci, al unei semiremorci sau rulote care nu face parte dintr-o combinaţie de autovehicule prevăzută la alin. (6), taxa asupra mijlocului de transport este egală cu suma corespunzătoare din tabelul</w:t>
      </w:r>
      <w:r>
        <w:rPr>
          <w:spacing w:val="-4"/>
          <w:w w:val="115"/>
          <w:sz w:val="20"/>
        </w:rPr>
        <w:t> </w:t>
      </w:r>
      <w:r>
        <w:rPr>
          <w:w w:val="115"/>
          <w:sz w:val="20"/>
        </w:rPr>
        <w:t>următor:</w:t>
      </w:r>
    </w:p>
    <w:p>
      <w:pPr>
        <w:pStyle w:val="BodyText"/>
        <w:spacing w:before="0"/>
        <w:ind w:left="0"/>
        <w:jc w:val="left"/>
      </w:pPr>
    </w:p>
    <w:p>
      <w:pPr>
        <w:pStyle w:val="BodyText"/>
        <w:spacing w:before="8"/>
        <w:ind w:left="0"/>
        <w:jc w:val="left"/>
        <w:rPr>
          <w:sz w:val="24"/>
        </w:rPr>
      </w:pPr>
    </w:p>
    <w:tbl>
      <w:tblPr>
        <w:tblW w:w="0" w:type="auto"/>
        <w:jc w:val="left"/>
        <w:tblInd w:w="164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4053"/>
        <w:gridCol w:w="2671"/>
      </w:tblGrid>
      <w:tr>
        <w:trPr>
          <w:trHeight w:val="363" w:hRule="atLeast"/>
        </w:trPr>
        <w:tc>
          <w:tcPr>
            <w:tcW w:w="4053" w:type="dxa"/>
          </w:tcPr>
          <w:p>
            <w:pPr>
              <w:pStyle w:val="TableParagraph"/>
              <w:rPr>
                <w:sz w:val="20"/>
              </w:rPr>
            </w:pPr>
            <w:r>
              <w:rPr>
                <w:w w:val="115"/>
                <w:sz w:val="20"/>
              </w:rPr>
              <w:t>Masa totală maximă autorizată</w:t>
            </w:r>
          </w:p>
        </w:tc>
        <w:tc>
          <w:tcPr>
            <w:tcW w:w="2671" w:type="dxa"/>
          </w:tcPr>
          <w:p>
            <w:pPr>
              <w:pStyle w:val="TableParagraph"/>
              <w:ind w:left="113"/>
              <w:rPr>
                <w:sz w:val="20"/>
              </w:rPr>
            </w:pPr>
            <w:r>
              <w:rPr>
                <w:w w:val="110"/>
                <w:sz w:val="20"/>
              </w:rPr>
              <w:t>Impozit (lei)</w:t>
            </w:r>
          </w:p>
        </w:tc>
      </w:tr>
      <w:tr>
        <w:trPr>
          <w:trHeight w:val="363" w:hRule="atLeast"/>
        </w:trPr>
        <w:tc>
          <w:tcPr>
            <w:tcW w:w="4053" w:type="dxa"/>
          </w:tcPr>
          <w:p>
            <w:pPr>
              <w:pStyle w:val="TableParagraph"/>
              <w:rPr>
                <w:sz w:val="20"/>
              </w:rPr>
            </w:pPr>
            <w:r>
              <w:rPr>
                <w:w w:val="115"/>
                <w:sz w:val="20"/>
              </w:rPr>
              <w:t>1. până la 1 tonă inclusiv</w:t>
            </w:r>
          </w:p>
        </w:tc>
        <w:tc>
          <w:tcPr>
            <w:tcW w:w="2671" w:type="dxa"/>
          </w:tcPr>
          <w:p>
            <w:pPr>
              <w:pStyle w:val="TableParagraph"/>
              <w:ind w:left="113"/>
              <w:rPr>
                <w:sz w:val="20"/>
              </w:rPr>
            </w:pPr>
            <w:r>
              <w:rPr>
                <w:w w:val="112"/>
                <w:sz w:val="20"/>
              </w:rPr>
              <w:t>9</w:t>
            </w:r>
          </w:p>
        </w:tc>
      </w:tr>
      <w:tr>
        <w:trPr>
          <w:trHeight w:val="640" w:hRule="atLeast"/>
        </w:trPr>
        <w:tc>
          <w:tcPr>
            <w:tcW w:w="4053" w:type="dxa"/>
          </w:tcPr>
          <w:p>
            <w:pPr>
              <w:pStyle w:val="TableParagraph"/>
              <w:spacing w:line="271" w:lineRule="auto"/>
              <w:ind w:right="58"/>
              <w:rPr>
                <w:sz w:val="20"/>
              </w:rPr>
            </w:pPr>
            <w:r>
              <w:rPr>
                <w:w w:val="115"/>
                <w:sz w:val="20"/>
              </w:rPr>
              <w:t>2. peste 1 tonă, dar nu mai mult de 3 tone</w:t>
            </w:r>
          </w:p>
        </w:tc>
        <w:tc>
          <w:tcPr>
            <w:tcW w:w="2671" w:type="dxa"/>
          </w:tcPr>
          <w:p>
            <w:pPr>
              <w:pStyle w:val="TableParagraph"/>
              <w:ind w:left="113"/>
              <w:rPr>
                <w:sz w:val="20"/>
              </w:rPr>
            </w:pPr>
            <w:r>
              <w:rPr>
                <w:w w:val="115"/>
                <w:sz w:val="20"/>
              </w:rPr>
              <w:t>38</w:t>
            </w:r>
          </w:p>
        </w:tc>
      </w:tr>
      <w:tr>
        <w:trPr>
          <w:trHeight w:val="640" w:hRule="atLeast"/>
        </w:trPr>
        <w:tc>
          <w:tcPr>
            <w:tcW w:w="4053" w:type="dxa"/>
          </w:tcPr>
          <w:p>
            <w:pPr>
              <w:pStyle w:val="TableParagraph"/>
              <w:spacing w:line="271" w:lineRule="auto"/>
              <w:ind w:right="58"/>
              <w:rPr>
                <w:sz w:val="20"/>
              </w:rPr>
            </w:pPr>
            <w:r>
              <w:rPr>
                <w:w w:val="115"/>
                <w:sz w:val="20"/>
              </w:rPr>
              <w:t>3. peste 3 tone, dar nu mai mult de 5 tone</w:t>
            </w:r>
          </w:p>
        </w:tc>
        <w:tc>
          <w:tcPr>
            <w:tcW w:w="2671" w:type="dxa"/>
          </w:tcPr>
          <w:p>
            <w:pPr>
              <w:pStyle w:val="TableParagraph"/>
              <w:ind w:left="113"/>
              <w:rPr>
                <w:sz w:val="20"/>
              </w:rPr>
            </w:pPr>
            <w:r>
              <w:rPr>
                <w:w w:val="115"/>
                <w:sz w:val="20"/>
              </w:rPr>
              <w:t>58</w:t>
            </w:r>
          </w:p>
        </w:tc>
      </w:tr>
      <w:tr>
        <w:trPr>
          <w:trHeight w:val="363" w:hRule="atLeast"/>
        </w:trPr>
        <w:tc>
          <w:tcPr>
            <w:tcW w:w="4053" w:type="dxa"/>
          </w:tcPr>
          <w:p>
            <w:pPr>
              <w:pStyle w:val="TableParagraph"/>
              <w:rPr>
                <w:sz w:val="20"/>
              </w:rPr>
            </w:pPr>
            <w:r>
              <w:rPr>
                <w:w w:val="110"/>
                <w:sz w:val="20"/>
              </w:rPr>
              <w:t>4. peste 5 tone</w:t>
            </w:r>
          </w:p>
        </w:tc>
        <w:tc>
          <w:tcPr>
            <w:tcW w:w="2671" w:type="dxa"/>
          </w:tcPr>
          <w:p>
            <w:pPr>
              <w:pStyle w:val="TableParagraph"/>
              <w:ind w:left="113"/>
              <w:rPr>
                <w:sz w:val="20"/>
              </w:rPr>
            </w:pPr>
            <w:r>
              <w:rPr>
                <w:w w:val="115"/>
                <w:sz w:val="20"/>
              </w:rPr>
              <w:t>71</w:t>
            </w:r>
          </w:p>
        </w:tc>
      </w:tr>
    </w:tbl>
    <w:p>
      <w:pPr>
        <w:pStyle w:val="BodyText"/>
        <w:spacing w:before="0"/>
        <w:ind w:left="0"/>
        <w:jc w:val="left"/>
      </w:pPr>
    </w:p>
    <w:p>
      <w:pPr>
        <w:pStyle w:val="BodyText"/>
        <w:spacing w:before="5"/>
        <w:ind w:left="0"/>
        <w:jc w:val="left"/>
        <w:rPr>
          <w:sz w:val="18"/>
        </w:rPr>
      </w:pPr>
    </w:p>
    <w:p>
      <w:pPr>
        <w:pStyle w:val="ListParagraph"/>
        <w:numPr>
          <w:ilvl w:val="0"/>
          <w:numId w:val="20"/>
        </w:numPr>
        <w:tabs>
          <w:tab w:pos="869" w:val="left" w:leader="none"/>
        </w:tabs>
        <w:spacing w:line="271" w:lineRule="auto" w:before="123" w:after="0"/>
        <w:ind w:left="108" w:right="118" w:firstLine="546"/>
        <w:jc w:val="left"/>
        <w:rPr>
          <w:rFonts w:ascii="Arial" w:hAnsi="Arial"/>
          <w:sz w:val="20"/>
        </w:rPr>
      </w:pPr>
      <w:r>
        <w:rPr>
          <w:w w:val="115"/>
          <w:sz w:val="20"/>
        </w:rPr>
        <w:t>În cazul mijloacelor de transport pe apă, impozitul pe mijlocul de transport este egal cu suma corespunzătoare din tabelul</w:t>
      </w:r>
      <w:r>
        <w:rPr>
          <w:spacing w:val="-4"/>
          <w:w w:val="115"/>
          <w:sz w:val="20"/>
        </w:rPr>
        <w:t> </w:t>
      </w:r>
      <w:r>
        <w:rPr>
          <w:w w:val="115"/>
          <w:sz w:val="20"/>
        </w:rPr>
        <w:t>următor:</w:t>
      </w:r>
    </w:p>
    <w:p>
      <w:pPr>
        <w:pStyle w:val="BodyText"/>
        <w:spacing w:before="0"/>
        <w:ind w:left="0"/>
        <w:jc w:val="left"/>
      </w:pPr>
    </w:p>
    <w:p>
      <w:pPr>
        <w:pStyle w:val="BodyText"/>
        <w:spacing w:before="8"/>
        <w:ind w:left="0"/>
        <w:jc w:val="left"/>
        <w:rPr>
          <w:sz w:val="24"/>
        </w:rPr>
      </w:pPr>
    </w:p>
    <w:tbl>
      <w:tblPr>
        <w:tblW w:w="0" w:type="auto"/>
        <w:jc w:val="left"/>
        <w:tblInd w:w="132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4437"/>
        <w:gridCol w:w="2932"/>
      </w:tblGrid>
      <w:tr>
        <w:trPr>
          <w:trHeight w:val="363" w:hRule="atLeast"/>
        </w:trPr>
        <w:tc>
          <w:tcPr>
            <w:tcW w:w="4437" w:type="dxa"/>
          </w:tcPr>
          <w:p>
            <w:pPr>
              <w:pStyle w:val="TableParagraph"/>
              <w:rPr>
                <w:sz w:val="20"/>
              </w:rPr>
            </w:pPr>
            <w:r>
              <w:rPr>
                <w:w w:val="115"/>
                <w:sz w:val="20"/>
              </w:rPr>
              <w:t>Mijloc de transport pe apă</w:t>
            </w:r>
          </w:p>
        </w:tc>
        <w:tc>
          <w:tcPr>
            <w:tcW w:w="2932" w:type="dxa"/>
          </w:tcPr>
          <w:p>
            <w:pPr>
              <w:pStyle w:val="TableParagraph"/>
              <w:ind w:left="113"/>
              <w:rPr>
                <w:sz w:val="20"/>
              </w:rPr>
            </w:pPr>
            <w:r>
              <w:rPr>
                <w:w w:val="110"/>
                <w:sz w:val="20"/>
              </w:rPr>
              <w:t>Impozit (lei)</w:t>
            </w:r>
          </w:p>
        </w:tc>
      </w:tr>
      <w:tr>
        <w:trPr>
          <w:trHeight w:val="916" w:hRule="atLeast"/>
        </w:trPr>
        <w:tc>
          <w:tcPr>
            <w:tcW w:w="4437" w:type="dxa"/>
          </w:tcPr>
          <w:p>
            <w:pPr>
              <w:pStyle w:val="TableParagraph"/>
              <w:spacing w:line="271" w:lineRule="auto"/>
              <w:ind w:right="132"/>
              <w:rPr>
                <w:sz w:val="20"/>
              </w:rPr>
            </w:pPr>
            <w:r>
              <w:rPr>
                <w:w w:val="115"/>
                <w:sz w:val="20"/>
              </w:rPr>
              <w:t>1. Luntre, bărci fără motor, folosite pentru uz</w:t>
            </w:r>
          </w:p>
          <w:p>
            <w:pPr>
              <w:pStyle w:val="TableParagraph"/>
              <w:spacing w:before="1"/>
              <w:rPr>
                <w:sz w:val="20"/>
              </w:rPr>
            </w:pPr>
            <w:r>
              <w:rPr>
                <w:w w:val="115"/>
                <w:sz w:val="20"/>
              </w:rPr>
              <w:t>personal</w:t>
            </w:r>
          </w:p>
        </w:tc>
        <w:tc>
          <w:tcPr>
            <w:tcW w:w="2932" w:type="dxa"/>
          </w:tcPr>
          <w:p>
            <w:pPr>
              <w:pStyle w:val="TableParagraph"/>
              <w:ind w:left="113"/>
              <w:rPr>
                <w:sz w:val="20"/>
              </w:rPr>
            </w:pPr>
            <w:r>
              <w:rPr>
                <w:w w:val="115"/>
                <w:sz w:val="20"/>
              </w:rPr>
              <w:t>24</w:t>
            </w:r>
          </w:p>
        </w:tc>
      </w:tr>
      <w:tr>
        <w:trPr>
          <w:trHeight w:val="363" w:hRule="atLeast"/>
        </w:trPr>
        <w:tc>
          <w:tcPr>
            <w:tcW w:w="4437" w:type="dxa"/>
          </w:tcPr>
          <w:p>
            <w:pPr>
              <w:pStyle w:val="TableParagraph"/>
              <w:rPr>
                <w:sz w:val="20"/>
              </w:rPr>
            </w:pPr>
            <w:r>
              <w:rPr>
                <w:w w:val="115"/>
                <w:sz w:val="20"/>
              </w:rPr>
              <w:t>2. Bărci fără motor, folosite în alte scopuri</w:t>
            </w:r>
          </w:p>
        </w:tc>
        <w:tc>
          <w:tcPr>
            <w:tcW w:w="2932" w:type="dxa"/>
          </w:tcPr>
          <w:p>
            <w:pPr>
              <w:pStyle w:val="TableParagraph"/>
              <w:ind w:left="113"/>
              <w:rPr>
                <w:sz w:val="20"/>
              </w:rPr>
            </w:pPr>
            <w:r>
              <w:rPr>
                <w:w w:val="115"/>
                <w:sz w:val="20"/>
              </w:rPr>
              <w:t>63</w:t>
            </w:r>
          </w:p>
        </w:tc>
      </w:tr>
      <w:tr>
        <w:trPr>
          <w:trHeight w:val="363" w:hRule="atLeast"/>
        </w:trPr>
        <w:tc>
          <w:tcPr>
            <w:tcW w:w="4437" w:type="dxa"/>
          </w:tcPr>
          <w:p>
            <w:pPr>
              <w:pStyle w:val="TableParagraph"/>
              <w:rPr>
                <w:sz w:val="20"/>
              </w:rPr>
            </w:pPr>
            <w:r>
              <w:rPr>
                <w:w w:val="115"/>
                <w:sz w:val="20"/>
              </w:rPr>
              <w:t>3. Bărci cu motor</w:t>
            </w:r>
          </w:p>
        </w:tc>
        <w:tc>
          <w:tcPr>
            <w:tcW w:w="2932" w:type="dxa"/>
          </w:tcPr>
          <w:p>
            <w:pPr>
              <w:pStyle w:val="TableParagraph"/>
              <w:ind w:left="113"/>
              <w:rPr>
                <w:sz w:val="20"/>
              </w:rPr>
            </w:pPr>
            <w:r>
              <w:rPr>
                <w:w w:val="115"/>
                <w:sz w:val="20"/>
              </w:rPr>
              <w:t>225</w:t>
            </w:r>
          </w:p>
        </w:tc>
      </w:tr>
      <w:tr>
        <w:trPr>
          <w:trHeight w:val="363" w:hRule="atLeast"/>
        </w:trPr>
        <w:tc>
          <w:tcPr>
            <w:tcW w:w="4437" w:type="dxa"/>
          </w:tcPr>
          <w:p>
            <w:pPr>
              <w:pStyle w:val="TableParagraph"/>
              <w:rPr>
                <w:sz w:val="20"/>
              </w:rPr>
            </w:pPr>
            <w:r>
              <w:rPr>
                <w:w w:val="115"/>
                <w:sz w:val="20"/>
              </w:rPr>
              <w:t>4. Nave de sport şi agrement</w:t>
            </w:r>
          </w:p>
        </w:tc>
        <w:tc>
          <w:tcPr>
            <w:tcW w:w="2932" w:type="dxa"/>
          </w:tcPr>
          <w:p>
            <w:pPr>
              <w:pStyle w:val="TableParagraph"/>
              <w:ind w:left="113"/>
              <w:rPr>
                <w:sz w:val="20"/>
              </w:rPr>
            </w:pPr>
            <w:r>
              <w:rPr>
                <w:w w:val="115"/>
                <w:sz w:val="20"/>
              </w:rPr>
              <w:t>559</w:t>
            </w:r>
          </w:p>
        </w:tc>
      </w:tr>
      <w:tr>
        <w:trPr>
          <w:trHeight w:val="363" w:hRule="atLeast"/>
        </w:trPr>
        <w:tc>
          <w:tcPr>
            <w:tcW w:w="4437" w:type="dxa"/>
          </w:tcPr>
          <w:p>
            <w:pPr>
              <w:pStyle w:val="TableParagraph"/>
              <w:rPr>
                <w:sz w:val="20"/>
              </w:rPr>
            </w:pPr>
            <w:r>
              <w:rPr>
                <w:w w:val="115"/>
                <w:sz w:val="20"/>
              </w:rPr>
              <w:t>5. Scutere de apă</w:t>
            </w:r>
          </w:p>
        </w:tc>
        <w:tc>
          <w:tcPr>
            <w:tcW w:w="2932" w:type="dxa"/>
          </w:tcPr>
          <w:p>
            <w:pPr>
              <w:pStyle w:val="TableParagraph"/>
              <w:ind w:left="113"/>
              <w:rPr>
                <w:sz w:val="20"/>
              </w:rPr>
            </w:pPr>
            <w:r>
              <w:rPr>
                <w:w w:val="115"/>
                <w:sz w:val="20"/>
              </w:rPr>
              <w:t>235</w:t>
            </w:r>
          </w:p>
        </w:tc>
      </w:tr>
      <w:tr>
        <w:trPr>
          <w:trHeight w:val="363" w:hRule="atLeast"/>
        </w:trPr>
        <w:tc>
          <w:tcPr>
            <w:tcW w:w="4437" w:type="dxa"/>
          </w:tcPr>
          <w:p>
            <w:pPr>
              <w:pStyle w:val="TableParagraph"/>
              <w:rPr>
                <w:sz w:val="20"/>
              </w:rPr>
            </w:pPr>
            <w:r>
              <w:rPr>
                <w:w w:val="115"/>
                <w:sz w:val="20"/>
              </w:rPr>
              <w:t>6. Remorchere şi împingătoare:</w:t>
            </w:r>
          </w:p>
        </w:tc>
        <w:tc>
          <w:tcPr>
            <w:tcW w:w="2932" w:type="dxa"/>
          </w:tcPr>
          <w:p>
            <w:pPr>
              <w:pStyle w:val="TableParagraph"/>
              <w:ind w:left="113"/>
              <w:rPr>
                <w:sz w:val="20"/>
              </w:rPr>
            </w:pPr>
            <w:r>
              <w:rPr>
                <w:w w:val="120"/>
                <w:sz w:val="20"/>
              </w:rPr>
              <w:t>x</w:t>
            </w:r>
          </w:p>
        </w:tc>
      </w:tr>
      <w:tr>
        <w:trPr>
          <w:trHeight w:val="363" w:hRule="atLeast"/>
        </w:trPr>
        <w:tc>
          <w:tcPr>
            <w:tcW w:w="4437" w:type="dxa"/>
          </w:tcPr>
          <w:p>
            <w:pPr>
              <w:pStyle w:val="TableParagraph"/>
              <w:rPr>
                <w:sz w:val="20"/>
              </w:rPr>
            </w:pPr>
            <w:r>
              <w:rPr>
                <w:w w:val="115"/>
                <w:sz w:val="20"/>
              </w:rPr>
              <w:t>a) Până la 500 CP inclusiv</w:t>
            </w:r>
          </w:p>
        </w:tc>
        <w:tc>
          <w:tcPr>
            <w:tcW w:w="2932" w:type="dxa"/>
          </w:tcPr>
          <w:p>
            <w:pPr>
              <w:pStyle w:val="TableParagraph"/>
              <w:ind w:left="113"/>
              <w:rPr>
                <w:sz w:val="20"/>
              </w:rPr>
            </w:pPr>
            <w:r>
              <w:rPr>
                <w:w w:val="115"/>
                <w:sz w:val="20"/>
              </w:rPr>
              <w:t>625</w:t>
            </w:r>
          </w:p>
        </w:tc>
      </w:tr>
      <w:tr>
        <w:trPr>
          <w:trHeight w:val="363" w:hRule="atLeast"/>
        </w:trPr>
        <w:tc>
          <w:tcPr>
            <w:tcW w:w="4437" w:type="dxa"/>
          </w:tcPr>
          <w:p>
            <w:pPr>
              <w:pStyle w:val="TableParagraph"/>
              <w:rPr>
                <w:sz w:val="20"/>
              </w:rPr>
            </w:pPr>
            <w:r>
              <w:rPr>
                <w:w w:val="115"/>
                <w:sz w:val="20"/>
              </w:rPr>
              <w:t>b) peste 500 CP şi până la 2.000 CP, inclusiv</w:t>
            </w:r>
          </w:p>
        </w:tc>
        <w:tc>
          <w:tcPr>
            <w:tcW w:w="2932" w:type="dxa"/>
          </w:tcPr>
          <w:p>
            <w:pPr>
              <w:pStyle w:val="TableParagraph"/>
              <w:ind w:left="113"/>
              <w:rPr>
                <w:sz w:val="20"/>
              </w:rPr>
            </w:pPr>
            <w:r>
              <w:rPr>
                <w:w w:val="110"/>
                <w:sz w:val="20"/>
              </w:rPr>
              <w:t>1.018</w:t>
            </w:r>
          </w:p>
        </w:tc>
      </w:tr>
      <w:tr>
        <w:trPr>
          <w:trHeight w:val="455" w:hRule="atLeast"/>
        </w:trPr>
        <w:tc>
          <w:tcPr>
            <w:tcW w:w="4437" w:type="dxa"/>
          </w:tcPr>
          <w:p>
            <w:pPr>
              <w:pStyle w:val="TableParagraph"/>
              <w:rPr>
                <w:sz w:val="20"/>
              </w:rPr>
            </w:pPr>
            <w:r>
              <w:rPr>
                <w:w w:val="110"/>
                <w:sz w:val="20"/>
              </w:rPr>
              <w:t>c) peste 2.000 CP şi până la 4.000 CP, inclusiv;</w:t>
            </w:r>
          </w:p>
        </w:tc>
        <w:tc>
          <w:tcPr>
            <w:tcW w:w="2932" w:type="dxa"/>
          </w:tcPr>
          <w:p>
            <w:pPr>
              <w:pStyle w:val="TableParagraph"/>
              <w:ind w:left="113"/>
              <w:rPr>
                <w:sz w:val="20"/>
              </w:rPr>
            </w:pPr>
            <w:r>
              <w:rPr>
                <w:w w:val="110"/>
                <w:sz w:val="20"/>
              </w:rPr>
              <w:t>1.565</w:t>
            </w:r>
          </w:p>
        </w:tc>
      </w:tr>
      <w:tr>
        <w:trPr>
          <w:trHeight w:val="363" w:hRule="atLeast"/>
        </w:trPr>
        <w:tc>
          <w:tcPr>
            <w:tcW w:w="4437" w:type="dxa"/>
          </w:tcPr>
          <w:p>
            <w:pPr>
              <w:pStyle w:val="TableParagraph"/>
              <w:rPr>
                <w:sz w:val="20"/>
              </w:rPr>
            </w:pPr>
            <w:r>
              <w:rPr>
                <w:w w:val="110"/>
                <w:sz w:val="20"/>
              </w:rPr>
              <w:t>d) Peste 4.000 CP</w:t>
            </w:r>
          </w:p>
        </w:tc>
        <w:tc>
          <w:tcPr>
            <w:tcW w:w="2932" w:type="dxa"/>
          </w:tcPr>
          <w:p>
            <w:pPr>
              <w:pStyle w:val="TableParagraph"/>
              <w:ind w:left="113"/>
              <w:rPr>
                <w:sz w:val="20"/>
              </w:rPr>
            </w:pPr>
            <w:r>
              <w:rPr>
                <w:w w:val="110"/>
                <w:sz w:val="20"/>
              </w:rPr>
              <w:t>2.503</w:t>
            </w:r>
          </w:p>
        </w:tc>
      </w:tr>
      <w:tr>
        <w:trPr>
          <w:trHeight w:val="640" w:hRule="atLeast"/>
        </w:trPr>
        <w:tc>
          <w:tcPr>
            <w:tcW w:w="4437" w:type="dxa"/>
          </w:tcPr>
          <w:p>
            <w:pPr>
              <w:pStyle w:val="TableParagraph"/>
              <w:spacing w:line="271" w:lineRule="auto"/>
              <w:ind w:right="362"/>
              <w:rPr>
                <w:sz w:val="20"/>
              </w:rPr>
            </w:pPr>
            <w:r>
              <w:rPr>
                <w:w w:val="115"/>
                <w:sz w:val="20"/>
              </w:rPr>
              <w:t>7. Vapoare – pentru fiecare 1.000 tdw sau fracţiune din acesta</w:t>
            </w:r>
          </w:p>
        </w:tc>
        <w:tc>
          <w:tcPr>
            <w:tcW w:w="2932" w:type="dxa"/>
          </w:tcPr>
          <w:p>
            <w:pPr>
              <w:pStyle w:val="TableParagraph"/>
              <w:ind w:left="113"/>
              <w:rPr>
                <w:sz w:val="20"/>
              </w:rPr>
            </w:pPr>
            <w:r>
              <w:rPr>
                <w:w w:val="115"/>
                <w:sz w:val="20"/>
              </w:rPr>
              <w:t>204</w:t>
            </w:r>
          </w:p>
        </w:tc>
      </w:tr>
      <w:tr>
        <w:trPr>
          <w:trHeight w:val="363" w:hRule="atLeast"/>
        </w:trPr>
        <w:tc>
          <w:tcPr>
            <w:tcW w:w="4437" w:type="dxa"/>
          </w:tcPr>
          <w:p>
            <w:pPr>
              <w:pStyle w:val="TableParagraph"/>
              <w:rPr>
                <w:sz w:val="20"/>
              </w:rPr>
            </w:pPr>
            <w:r>
              <w:rPr>
                <w:w w:val="115"/>
                <w:sz w:val="20"/>
              </w:rPr>
              <w:t>8. Ceamuri, slepuri si barje fluviale:</w:t>
            </w:r>
          </w:p>
        </w:tc>
        <w:tc>
          <w:tcPr>
            <w:tcW w:w="2932" w:type="dxa"/>
          </w:tcPr>
          <w:p>
            <w:pPr>
              <w:pStyle w:val="TableParagraph"/>
              <w:ind w:left="113"/>
              <w:rPr>
                <w:sz w:val="20"/>
              </w:rPr>
            </w:pPr>
            <w:r>
              <w:rPr>
                <w:w w:val="111"/>
                <w:sz w:val="20"/>
              </w:rPr>
              <w:t>X</w:t>
            </w:r>
          </w:p>
        </w:tc>
      </w:tr>
      <w:tr>
        <w:trPr>
          <w:trHeight w:val="640" w:hRule="atLeast"/>
        </w:trPr>
        <w:tc>
          <w:tcPr>
            <w:tcW w:w="4437" w:type="dxa"/>
          </w:tcPr>
          <w:p>
            <w:pPr>
              <w:pStyle w:val="TableParagraph"/>
              <w:spacing w:line="271" w:lineRule="auto"/>
              <w:rPr>
                <w:sz w:val="20"/>
              </w:rPr>
            </w:pPr>
            <w:r>
              <w:rPr>
                <w:w w:val="115"/>
                <w:sz w:val="20"/>
              </w:rPr>
              <w:t>a) Cu capacitatea de încărcare până la 1.500 tone inclusiv</w:t>
            </w:r>
          </w:p>
        </w:tc>
        <w:tc>
          <w:tcPr>
            <w:tcW w:w="2932" w:type="dxa"/>
          </w:tcPr>
          <w:p>
            <w:pPr>
              <w:pStyle w:val="TableParagraph"/>
              <w:ind w:left="113"/>
              <w:rPr>
                <w:sz w:val="20"/>
              </w:rPr>
            </w:pPr>
            <w:r>
              <w:rPr>
                <w:w w:val="115"/>
                <w:sz w:val="20"/>
              </w:rPr>
              <w:t>204</w:t>
            </w:r>
          </w:p>
        </w:tc>
      </w:tr>
      <w:tr>
        <w:trPr>
          <w:trHeight w:val="916" w:hRule="atLeast"/>
        </w:trPr>
        <w:tc>
          <w:tcPr>
            <w:tcW w:w="4437" w:type="dxa"/>
          </w:tcPr>
          <w:p>
            <w:pPr>
              <w:pStyle w:val="TableParagraph"/>
              <w:spacing w:line="271" w:lineRule="auto"/>
              <w:ind w:right="132"/>
              <w:rPr>
                <w:sz w:val="20"/>
              </w:rPr>
            </w:pPr>
            <w:r>
              <w:rPr>
                <w:w w:val="115"/>
                <w:sz w:val="20"/>
              </w:rPr>
              <w:t>b ) cu capacitatea de încărcare de peste 1.500</w:t>
            </w:r>
          </w:p>
          <w:p>
            <w:pPr>
              <w:pStyle w:val="TableParagraph"/>
              <w:spacing w:before="1"/>
              <w:rPr>
                <w:sz w:val="20"/>
              </w:rPr>
            </w:pPr>
            <w:r>
              <w:rPr>
                <w:w w:val="115"/>
                <w:sz w:val="20"/>
              </w:rPr>
              <w:t>tone si până la 3.000 tone, inclusiv;</w:t>
            </w:r>
          </w:p>
        </w:tc>
        <w:tc>
          <w:tcPr>
            <w:tcW w:w="2932" w:type="dxa"/>
          </w:tcPr>
          <w:p>
            <w:pPr>
              <w:pStyle w:val="TableParagraph"/>
              <w:ind w:left="113"/>
              <w:rPr>
                <w:sz w:val="20"/>
              </w:rPr>
            </w:pPr>
            <w:r>
              <w:rPr>
                <w:w w:val="115"/>
                <w:sz w:val="20"/>
              </w:rPr>
              <w:t>314</w:t>
            </w:r>
          </w:p>
        </w:tc>
      </w:tr>
      <w:tr>
        <w:trPr>
          <w:trHeight w:val="640" w:hRule="atLeast"/>
        </w:trPr>
        <w:tc>
          <w:tcPr>
            <w:tcW w:w="4437" w:type="dxa"/>
          </w:tcPr>
          <w:p>
            <w:pPr>
              <w:pStyle w:val="TableParagraph"/>
              <w:spacing w:line="271" w:lineRule="auto"/>
              <w:ind w:right="83"/>
              <w:rPr>
                <w:sz w:val="20"/>
              </w:rPr>
            </w:pPr>
            <w:r>
              <w:rPr>
                <w:w w:val="115"/>
                <w:sz w:val="20"/>
              </w:rPr>
              <w:t>c) cu capacitatea de încărcare de peste 3.000 tone</w:t>
            </w:r>
          </w:p>
        </w:tc>
        <w:tc>
          <w:tcPr>
            <w:tcW w:w="2932" w:type="dxa"/>
          </w:tcPr>
          <w:p>
            <w:pPr>
              <w:pStyle w:val="TableParagraph"/>
              <w:ind w:left="113"/>
              <w:rPr>
                <w:sz w:val="20"/>
              </w:rPr>
            </w:pPr>
            <w:r>
              <w:rPr>
                <w:w w:val="115"/>
                <w:sz w:val="20"/>
              </w:rPr>
              <w:t>549</w:t>
            </w:r>
          </w:p>
        </w:tc>
      </w:tr>
    </w:tbl>
    <w:p>
      <w:pPr>
        <w:pStyle w:val="BodyText"/>
        <w:spacing w:before="0"/>
        <w:ind w:left="0"/>
        <w:jc w:val="left"/>
        <w:rPr>
          <w:sz w:val="7"/>
        </w:rPr>
      </w:pPr>
    </w:p>
    <w:p>
      <w:pPr>
        <w:pStyle w:val="ListParagraph"/>
        <w:numPr>
          <w:ilvl w:val="0"/>
          <w:numId w:val="20"/>
        </w:numPr>
        <w:tabs>
          <w:tab w:pos="449" w:val="left" w:leader="none"/>
        </w:tabs>
        <w:spacing w:line="271" w:lineRule="auto" w:before="123" w:after="0"/>
        <w:ind w:left="108" w:right="120" w:firstLine="116"/>
        <w:jc w:val="left"/>
        <w:rPr>
          <w:sz w:val="20"/>
        </w:rPr>
      </w:pPr>
      <w:r>
        <w:rPr>
          <w:w w:val="115"/>
          <w:sz w:val="20"/>
        </w:rPr>
        <w:t>Capacitatea cilindrică sau masa totală maximă autorizată a unui mijloc de transport se stabileşte prin cartea de identitate a mijlocului de transport, prin factura de achiziţie sau un alt document</w:t>
      </w:r>
      <w:r>
        <w:rPr>
          <w:spacing w:val="-18"/>
          <w:w w:val="115"/>
          <w:sz w:val="20"/>
        </w:rPr>
        <w:t> </w:t>
      </w:r>
      <w:r>
        <w:rPr>
          <w:w w:val="115"/>
          <w:sz w:val="20"/>
        </w:rPr>
        <w:t>similar.</w:t>
      </w:r>
    </w:p>
    <w:p>
      <w:pPr>
        <w:spacing w:after="0" w:line="271" w:lineRule="auto"/>
        <w:jc w:val="left"/>
        <w:rPr>
          <w:sz w:val="20"/>
        </w:rPr>
        <w:sectPr>
          <w:pgSz w:w="11900" w:h="16840"/>
          <w:pgMar w:header="0" w:footer="280" w:top="580" w:bottom="480" w:left="1140" w:right="740"/>
        </w:sectPr>
      </w:pPr>
    </w:p>
    <w:p>
      <w:pPr>
        <w:pStyle w:val="ListParagraph"/>
        <w:numPr>
          <w:ilvl w:val="0"/>
          <w:numId w:val="20"/>
        </w:numPr>
        <w:tabs>
          <w:tab w:pos="478" w:val="left" w:leader="none"/>
        </w:tabs>
        <w:spacing w:line="271" w:lineRule="auto" w:before="104" w:after="0"/>
        <w:ind w:left="108" w:right="109" w:firstLine="0"/>
        <w:jc w:val="both"/>
        <w:rPr>
          <w:sz w:val="20"/>
        </w:rPr>
      </w:pPr>
      <w:r>
        <w:rPr>
          <w:w w:val="115"/>
          <w:sz w:val="20"/>
        </w:rPr>
        <w:t>Impozitul pe mijlocul de transport este datorat pentru întregul an fiscal de persoana care deţine dreptul de proprietate asupra unui mijloc de transport înmatriculat sau înregistrat în România la data de 31 decembrie a anului fiscal</w:t>
      </w:r>
      <w:r>
        <w:rPr>
          <w:spacing w:val="-6"/>
          <w:w w:val="115"/>
          <w:sz w:val="20"/>
        </w:rPr>
        <w:t> </w:t>
      </w:r>
      <w:r>
        <w:rPr>
          <w:w w:val="115"/>
          <w:sz w:val="20"/>
        </w:rPr>
        <w:t>anterior.</w:t>
      </w:r>
    </w:p>
    <w:p>
      <w:pPr>
        <w:pStyle w:val="ListParagraph"/>
        <w:numPr>
          <w:ilvl w:val="0"/>
          <w:numId w:val="20"/>
        </w:numPr>
        <w:tabs>
          <w:tab w:pos="445" w:val="left" w:leader="none"/>
        </w:tabs>
        <w:spacing w:line="271" w:lineRule="auto" w:before="109" w:after="0"/>
        <w:ind w:left="108" w:right="107" w:firstLine="0"/>
        <w:jc w:val="both"/>
        <w:rPr>
          <w:sz w:val="20"/>
        </w:rPr>
      </w:pPr>
      <w:r>
        <w:rPr>
          <w:w w:val="115"/>
          <w:sz w:val="20"/>
        </w:rPr>
        <w:t>În cazul dobândirii unui mijloc de transport, proprietarul acestuia are obligaţia să depună o declaraţie la organul fiscal local în a cărui rază teritorială de competenţă are domiciliul, sediul sau punctul de lucru, după caz, în termen de 30 de zile de la data dobândirii şi datorează impozit pe mijloacele de transport începând</w:t>
      </w:r>
      <w:r>
        <w:rPr>
          <w:spacing w:val="-5"/>
          <w:w w:val="115"/>
          <w:sz w:val="20"/>
        </w:rPr>
        <w:t> </w:t>
      </w:r>
      <w:r>
        <w:rPr>
          <w:w w:val="115"/>
          <w:sz w:val="20"/>
        </w:rPr>
        <w:t>cu</w:t>
      </w:r>
      <w:r>
        <w:rPr>
          <w:spacing w:val="-5"/>
          <w:w w:val="115"/>
          <w:sz w:val="20"/>
        </w:rPr>
        <w:t> </w:t>
      </w:r>
      <w:r>
        <w:rPr>
          <w:w w:val="115"/>
          <w:sz w:val="20"/>
        </w:rPr>
        <w:t>data</w:t>
      </w:r>
      <w:r>
        <w:rPr>
          <w:spacing w:val="-5"/>
          <w:w w:val="115"/>
          <w:sz w:val="20"/>
        </w:rPr>
        <w:t> </w:t>
      </w:r>
      <w:r>
        <w:rPr>
          <w:w w:val="115"/>
          <w:sz w:val="20"/>
        </w:rPr>
        <w:t>de</w:t>
      </w:r>
      <w:r>
        <w:rPr>
          <w:spacing w:val="-4"/>
          <w:w w:val="115"/>
          <w:sz w:val="20"/>
        </w:rPr>
        <w:t> </w:t>
      </w:r>
      <w:r>
        <w:rPr>
          <w:w w:val="115"/>
          <w:sz w:val="20"/>
        </w:rPr>
        <w:t>1</w:t>
      </w:r>
      <w:r>
        <w:rPr>
          <w:spacing w:val="-5"/>
          <w:w w:val="115"/>
          <w:sz w:val="20"/>
        </w:rPr>
        <w:t> </w:t>
      </w:r>
      <w:r>
        <w:rPr>
          <w:w w:val="115"/>
          <w:sz w:val="20"/>
        </w:rPr>
        <w:t>ianuarie</w:t>
      </w:r>
      <w:r>
        <w:rPr>
          <w:spacing w:val="-5"/>
          <w:w w:val="115"/>
          <w:sz w:val="20"/>
        </w:rPr>
        <w:t> </w:t>
      </w:r>
      <w:r>
        <w:rPr>
          <w:w w:val="115"/>
          <w:sz w:val="20"/>
        </w:rPr>
        <w:t>a</w:t>
      </w:r>
      <w:r>
        <w:rPr>
          <w:spacing w:val="-5"/>
          <w:w w:val="115"/>
          <w:sz w:val="20"/>
        </w:rPr>
        <w:t> </w:t>
      </w:r>
      <w:r>
        <w:rPr>
          <w:w w:val="115"/>
          <w:sz w:val="20"/>
        </w:rPr>
        <w:t>anului</w:t>
      </w:r>
      <w:r>
        <w:rPr>
          <w:spacing w:val="-4"/>
          <w:w w:val="115"/>
          <w:sz w:val="20"/>
        </w:rPr>
        <w:t> </w:t>
      </w:r>
      <w:r>
        <w:rPr>
          <w:w w:val="115"/>
          <w:sz w:val="20"/>
        </w:rPr>
        <w:t>următor</w:t>
      </w:r>
      <w:r>
        <w:rPr>
          <w:spacing w:val="-5"/>
          <w:w w:val="115"/>
          <w:sz w:val="20"/>
        </w:rPr>
        <w:t> </w:t>
      </w:r>
      <w:r>
        <w:rPr>
          <w:w w:val="115"/>
          <w:sz w:val="20"/>
        </w:rPr>
        <w:t>înmatriculării</w:t>
      </w:r>
      <w:r>
        <w:rPr>
          <w:spacing w:val="-5"/>
          <w:w w:val="115"/>
          <w:sz w:val="20"/>
        </w:rPr>
        <w:t> </w:t>
      </w:r>
      <w:r>
        <w:rPr>
          <w:w w:val="115"/>
          <w:sz w:val="20"/>
        </w:rPr>
        <w:t>sau</w:t>
      </w:r>
      <w:r>
        <w:rPr>
          <w:spacing w:val="-5"/>
          <w:w w:val="115"/>
          <w:sz w:val="20"/>
        </w:rPr>
        <w:t> </w:t>
      </w:r>
      <w:r>
        <w:rPr>
          <w:w w:val="115"/>
          <w:sz w:val="20"/>
        </w:rPr>
        <w:t>înregistrării</w:t>
      </w:r>
      <w:r>
        <w:rPr>
          <w:spacing w:val="-4"/>
          <w:w w:val="115"/>
          <w:sz w:val="20"/>
        </w:rPr>
        <w:t> </w:t>
      </w:r>
      <w:r>
        <w:rPr>
          <w:w w:val="115"/>
          <w:sz w:val="20"/>
        </w:rPr>
        <w:t>mijlocului</w:t>
      </w:r>
      <w:r>
        <w:rPr>
          <w:spacing w:val="-5"/>
          <w:w w:val="115"/>
          <w:sz w:val="20"/>
        </w:rPr>
        <w:t> </w:t>
      </w:r>
      <w:r>
        <w:rPr>
          <w:w w:val="115"/>
          <w:sz w:val="20"/>
        </w:rPr>
        <w:t>de</w:t>
      </w:r>
      <w:r>
        <w:rPr>
          <w:spacing w:val="-5"/>
          <w:w w:val="115"/>
          <w:sz w:val="20"/>
        </w:rPr>
        <w:t> </w:t>
      </w:r>
      <w:r>
        <w:rPr>
          <w:w w:val="115"/>
          <w:sz w:val="20"/>
        </w:rPr>
        <w:t>transport.</w:t>
      </w:r>
    </w:p>
    <w:p>
      <w:pPr>
        <w:pStyle w:val="ListParagraph"/>
        <w:numPr>
          <w:ilvl w:val="0"/>
          <w:numId w:val="20"/>
        </w:numPr>
        <w:tabs>
          <w:tab w:pos="441" w:val="left" w:leader="none"/>
        </w:tabs>
        <w:spacing w:line="271" w:lineRule="auto" w:before="109" w:after="0"/>
        <w:ind w:left="108" w:right="109" w:firstLine="0"/>
        <w:jc w:val="both"/>
        <w:rPr>
          <w:sz w:val="20"/>
        </w:rPr>
      </w:pPr>
      <w:r>
        <w:rPr>
          <w:w w:val="115"/>
          <w:sz w:val="20"/>
        </w:rPr>
        <w:t>În</w:t>
      </w:r>
      <w:r>
        <w:rPr>
          <w:spacing w:val="-7"/>
          <w:w w:val="115"/>
          <w:sz w:val="20"/>
        </w:rPr>
        <w:t> </w:t>
      </w:r>
      <w:r>
        <w:rPr>
          <w:w w:val="115"/>
          <w:sz w:val="20"/>
        </w:rPr>
        <w:t>cazul</w:t>
      </w:r>
      <w:r>
        <w:rPr>
          <w:spacing w:val="-6"/>
          <w:w w:val="115"/>
          <w:sz w:val="20"/>
        </w:rPr>
        <w:t> </w:t>
      </w:r>
      <w:r>
        <w:rPr>
          <w:w w:val="115"/>
          <w:sz w:val="20"/>
        </w:rPr>
        <w:t>în</w:t>
      </w:r>
      <w:r>
        <w:rPr>
          <w:spacing w:val="-6"/>
          <w:w w:val="115"/>
          <w:sz w:val="20"/>
        </w:rPr>
        <w:t> </w:t>
      </w:r>
      <w:r>
        <w:rPr>
          <w:w w:val="115"/>
          <w:sz w:val="20"/>
        </w:rPr>
        <w:t>care</w:t>
      </w:r>
      <w:r>
        <w:rPr>
          <w:spacing w:val="-7"/>
          <w:w w:val="115"/>
          <w:sz w:val="20"/>
        </w:rPr>
        <w:t> </w:t>
      </w:r>
      <w:r>
        <w:rPr>
          <w:w w:val="115"/>
          <w:sz w:val="20"/>
        </w:rPr>
        <w:t>mijlocul</w:t>
      </w:r>
      <w:r>
        <w:rPr>
          <w:spacing w:val="-6"/>
          <w:w w:val="115"/>
          <w:sz w:val="20"/>
        </w:rPr>
        <w:t> </w:t>
      </w:r>
      <w:r>
        <w:rPr>
          <w:w w:val="115"/>
          <w:sz w:val="20"/>
        </w:rPr>
        <w:t>de</w:t>
      </w:r>
      <w:r>
        <w:rPr>
          <w:spacing w:val="-6"/>
          <w:w w:val="115"/>
          <w:sz w:val="20"/>
        </w:rPr>
        <w:t> </w:t>
      </w:r>
      <w:r>
        <w:rPr>
          <w:w w:val="115"/>
          <w:sz w:val="20"/>
        </w:rPr>
        <w:t>transport</w:t>
      </w:r>
      <w:r>
        <w:rPr>
          <w:spacing w:val="-6"/>
          <w:w w:val="115"/>
          <w:sz w:val="20"/>
        </w:rPr>
        <w:t> </w:t>
      </w:r>
      <w:r>
        <w:rPr>
          <w:w w:val="115"/>
          <w:sz w:val="20"/>
        </w:rPr>
        <w:t>este</w:t>
      </w:r>
      <w:r>
        <w:rPr>
          <w:spacing w:val="-7"/>
          <w:w w:val="115"/>
          <w:sz w:val="20"/>
        </w:rPr>
        <w:t> </w:t>
      </w:r>
      <w:r>
        <w:rPr>
          <w:w w:val="115"/>
          <w:sz w:val="20"/>
        </w:rPr>
        <w:t>dobândit</w:t>
      </w:r>
      <w:r>
        <w:rPr>
          <w:spacing w:val="-6"/>
          <w:w w:val="115"/>
          <w:sz w:val="20"/>
        </w:rPr>
        <w:t> </w:t>
      </w:r>
      <w:r>
        <w:rPr>
          <w:w w:val="115"/>
          <w:sz w:val="20"/>
        </w:rPr>
        <w:t>în</w:t>
      </w:r>
      <w:r>
        <w:rPr>
          <w:spacing w:val="-6"/>
          <w:w w:val="115"/>
          <w:sz w:val="20"/>
        </w:rPr>
        <w:t> </w:t>
      </w:r>
      <w:r>
        <w:rPr>
          <w:w w:val="115"/>
          <w:sz w:val="20"/>
        </w:rPr>
        <w:t>alt</w:t>
      </w:r>
      <w:r>
        <w:rPr>
          <w:spacing w:val="-7"/>
          <w:w w:val="115"/>
          <w:sz w:val="20"/>
        </w:rPr>
        <w:t> </w:t>
      </w:r>
      <w:r>
        <w:rPr>
          <w:w w:val="115"/>
          <w:sz w:val="20"/>
        </w:rPr>
        <w:t>stat</w:t>
      </w:r>
      <w:r>
        <w:rPr>
          <w:spacing w:val="-6"/>
          <w:w w:val="115"/>
          <w:sz w:val="20"/>
        </w:rPr>
        <w:t> </w:t>
      </w:r>
      <w:r>
        <w:rPr>
          <w:w w:val="115"/>
          <w:sz w:val="20"/>
        </w:rPr>
        <w:t>decât</w:t>
      </w:r>
      <w:r>
        <w:rPr>
          <w:spacing w:val="-6"/>
          <w:w w:val="115"/>
          <w:sz w:val="20"/>
        </w:rPr>
        <w:t> </w:t>
      </w:r>
      <w:r>
        <w:rPr>
          <w:w w:val="115"/>
          <w:sz w:val="20"/>
        </w:rPr>
        <w:t>România,</w:t>
      </w:r>
      <w:r>
        <w:rPr>
          <w:spacing w:val="-6"/>
          <w:w w:val="115"/>
          <w:sz w:val="20"/>
        </w:rPr>
        <w:t> </w:t>
      </w:r>
      <w:r>
        <w:rPr>
          <w:w w:val="115"/>
          <w:sz w:val="20"/>
        </w:rPr>
        <w:t>proprietarul</w:t>
      </w:r>
      <w:r>
        <w:rPr>
          <w:spacing w:val="-7"/>
          <w:w w:val="115"/>
          <w:sz w:val="20"/>
        </w:rPr>
        <w:t> </w:t>
      </w:r>
      <w:r>
        <w:rPr>
          <w:w w:val="115"/>
          <w:sz w:val="20"/>
        </w:rPr>
        <w:t>acestuia</w:t>
      </w:r>
      <w:r>
        <w:rPr>
          <w:spacing w:val="-6"/>
          <w:w w:val="115"/>
          <w:sz w:val="20"/>
        </w:rPr>
        <w:t> </w:t>
      </w:r>
      <w:r>
        <w:rPr>
          <w:w w:val="115"/>
          <w:sz w:val="20"/>
        </w:rPr>
        <w:t>are obligaţia să depună o declaraţie la organul fiscal local în a cărui rază teritorială de competenţă are domiciliul, sediul sau punctul de lucru, după caz, în termen de 30 de zile de la data eliberării cărţii de identitate a vehiculului (CIV) de către Registrul Auto Român şi datorează impozit pe mijloacele de transport începând cu data de 1 ianuarie a anului următor înmatriculării sau înregistrării acestuia în România</w:t>
      </w:r>
      <w:r>
        <w:rPr>
          <w:spacing w:val="-1"/>
          <w:w w:val="115"/>
          <w:sz w:val="20"/>
        </w:rPr>
        <w:t> </w:t>
      </w:r>
      <w:r>
        <w:rPr>
          <w:w w:val="115"/>
          <w:sz w:val="20"/>
        </w:rPr>
        <w:t>.</w:t>
      </w:r>
    </w:p>
    <w:p>
      <w:pPr>
        <w:pStyle w:val="ListParagraph"/>
        <w:numPr>
          <w:ilvl w:val="0"/>
          <w:numId w:val="20"/>
        </w:numPr>
        <w:tabs>
          <w:tab w:pos="487" w:val="left" w:leader="none"/>
        </w:tabs>
        <w:spacing w:line="271" w:lineRule="auto" w:before="111" w:after="0"/>
        <w:ind w:left="108" w:right="115" w:firstLine="0"/>
        <w:jc w:val="both"/>
        <w:rPr>
          <w:sz w:val="20"/>
        </w:rPr>
      </w:pPr>
      <w:r>
        <w:rPr>
          <w:w w:val="115"/>
          <w:sz w:val="20"/>
        </w:rPr>
        <w:t>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şi încetează să datoreze impozitul începând cu data de 1 ianuarie a anului</w:t>
      </w:r>
      <w:r>
        <w:rPr>
          <w:spacing w:val="-8"/>
          <w:w w:val="115"/>
          <w:sz w:val="20"/>
        </w:rPr>
        <w:t> </w:t>
      </w:r>
      <w:r>
        <w:rPr>
          <w:w w:val="115"/>
          <w:sz w:val="20"/>
        </w:rPr>
        <w:t>următor.</w:t>
      </w:r>
    </w:p>
    <w:p>
      <w:pPr>
        <w:pStyle w:val="ListParagraph"/>
        <w:numPr>
          <w:ilvl w:val="0"/>
          <w:numId w:val="20"/>
        </w:numPr>
        <w:tabs>
          <w:tab w:pos="525" w:val="left" w:leader="none"/>
        </w:tabs>
        <w:spacing w:line="271" w:lineRule="auto" w:before="109" w:after="0"/>
        <w:ind w:left="108" w:right="112" w:firstLine="68"/>
        <w:jc w:val="both"/>
        <w:rPr>
          <w:sz w:val="20"/>
        </w:rPr>
      </w:pPr>
      <w:r>
        <w:rPr>
          <w:w w:val="115"/>
          <w:sz w:val="20"/>
        </w:rPr>
        <w:t>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 şi datorează impozitul pe mijloacele de transport stabilit în noile condiţii începând cu data de 1 ianuarie a anului</w:t>
      </w:r>
      <w:r>
        <w:rPr>
          <w:spacing w:val="-1"/>
          <w:w w:val="115"/>
          <w:sz w:val="20"/>
        </w:rPr>
        <w:t> </w:t>
      </w:r>
      <w:r>
        <w:rPr>
          <w:w w:val="115"/>
          <w:sz w:val="20"/>
        </w:rPr>
        <w:t>următor.</w:t>
      </w:r>
    </w:p>
    <w:p>
      <w:pPr>
        <w:pStyle w:val="ListParagraph"/>
        <w:numPr>
          <w:ilvl w:val="0"/>
          <w:numId w:val="20"/>
        </w:numPr>
        <w:tabs>
          <w:tab w:pos="471" w:val="left" w:leader="none"/>
        </w:tabs>
        <w:spacing w:line="271" w:lineRule="auto" w:before="111" w:after="0"/>
        <w:ind w:left="108" w:right="118" w:firstLine="0"/>
        <w:jc w:val="both"/>
        <w:rPr>
          <w:sz w:val="20"/>
        </w:rPr>
      </w:pPr>
      <w:r>
        <w:rPr>
          <w:w w:val="115"/>
          <w:sz w:val="20"/>
        </w:rPr>
        <w:t>În cazul unui mijloc de transport care face obiectul unui contract de leasing financiar, pe întreaga durată a acestuia se aplică următoarele</w:t>
      </w:r>
      <w:r>
        <w:rPr>
          <w:spacing w:val="-8"/>
          <w:w w:val="115"/>
          <w:sz w:val="20"/>
        </w:rPr>
        <w:t> </w:t>
      </w:r>
      <w:r>
        <w:rPr>
          <w:w w:val="115"/>
          <w:sz w:val="20"/>
        </w:rPr>
        <w:t>reguli:</w:t>
      </w:r>
    </w:p>
    <w:p>
      <w:pPr>
        <w:pStyle w:val="ListParagraph"/>
        <w:numPr>
          <w:ilvl w:val="0"/>
          <w:numId w:val="21"/>
        </w:numPr>
        <w:tabs>
          <w:tab w:pos="361" w:val="left" w:leader="none"/>
        </w:tabs>
        <w:spacing w:line="271" w:lineRule="auto" w:before="108" w:after="0"/>
        <w:ind w:left="108" w:right="111" w:firstLine="0"/>
        <w:jc w:val="both"/>
        <w:rPr>
          <w:sz w:val="20"/>
        </w:rPr>
      </w:pPr>
      <w:r>
        <w:rPr>
          <w:w w:val="115"/>
          <w:sz w:val="20"/>
        </w:rPr>
        <w:t>impozitul pe mijloacele de transport se datorează de locatar începând cu data de 1 ianuarie a anului următor încheierii contractului de leasing financiar, până la sfârşitul anului în cursul căruia încetează contractul de leasing</w:t>
      </w:r>
      <w:r>
        <w:rPr>
          <w:spacing w:val="-4"/>
          <w:w w:val="115"/>
          <w:sz w:val="20"/>
        </w:rPr>
        <w:t> </w:t>
      </w:r>
      <w:r>
        <w:rPr>
          <w:w w:val="115"/>
          <w:sz w:val="20"/>
        </w:rPr>
        <w:t>financiar;</w:t>
      </w:r>
    </w:p>
    <w:p>
      <w:pPr>
        <w:pStyle w:val="ListParagraph"/>
        <w:numPr>
          <w:ilvl w:val="0"/>
          <w:numId w:val="21"/>
        </w:numPr>
        <w:tabs>
          <w:tab w:pos="354" w:val="left" w:leader="none"/>
        </w:tabs>
        <w:spacing w:line="271" w:lineRule="auto" w:before="109" w:after="0"/>
        <w:ind w:left="108" w:right="113" w:firstLine="0"/>
        <w:jc w:val="both"/>
        <w:rPr>
          <w:sz w:val="20"/>
        </w:rPr>
      </w:pPr>
      <w:r>
        <w:rPr>
          <w:w w:val="115"/>
          <w:sz w:val="20"/>
        </w:rPr>
        <w:t>locatarul are obligaţia depunerii declaraţiei fiscale la organul fiscal local în a cărui rază de competenţă se înregistrează mijlocul de transport, în termen de 30 de zile de la data procesului-verbal de predare- primire a bunului sau a altor documente similare care atestă intrarea bunului în posesia locatarului, însoţită de o copie a acestor</w:t>
      </w:r>
      <w:r>
        <w:rPr>
          <w:spacing w:val="-8"/>
          <w:w w:val="115"/>
          <w:sz w:val="20"/>
        </w:rPr>
        <w:t> </w:t>
      </w:r>
      <w:r>
        <w:rPr>
          <w:w w:val="115"/>
          <w:sz w:val="20"/>
        </w:rPr>
        <w:t>documente;</w:t>
      </w:r>
    </w:p>
    <w:p>
      <w:pPr>
        <w:pStyle w:val="ListParagraph"/>
        <w:numPr>
          <w:ilvl w:val="0"/>
          <w:numId w:val="21"/>
        </w:numPr>
        <w:tabs>
          <w:tab w:pos="362" w:val="left" w:leader="none"/>
        </w:tabs>
        <w:spacing w:line="271" w:lineRule="auto" w:before="110" w:after="0"/>
        <w:ind w:left="108" w:right="107" w:firstLine="0"/>
        <w:jc w:val="both"/>
        <w:rPr>
          <w:sz w:val="20"/>
        </w:rPr>
      </w:pPr>
      <w:r>
        <w:rPr>
          <w:w w:val="115"/>
          <w:sz w:val="20"/>
        </w:rPr>
        <w:t>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w:t>
      </w:r>
      <w:r>
        <w:rPr>
          <w:spacing w:val="-11"/>
          <w:w w:val="115"/>
          <w:sz w:val="20"/>
        </w:rPr>
        <w:t> </w:t>
      </w:r>
      <w:r>
        <w:rPr>
          <w:w w:val="115"/>
          <w:sz w:val="20"/>
        </w:rPr>
        <w:t>documente.</w:t>
      </w:r>
    </w:p>
    <w:p>
      <w:pPr>
        <w:pStyle w:val="ListParagraph"/>
        <w:numPr>
          <w:ilvl w:val="0"/>
          <w:numId w:val="20"/>
        </w:numPr>
        <w:tabs>
          <w:tab w:pos="444" w:val="left" w:leader="none"/>
        </w:tabs>
        <w:spacing w:line="271" w:lineRule="auto" w:before="109" w:after="0"/>
        <w:ind w:left="108" w:right="107" w:firstLine="53"/>
        <w:jc w:val="both"/>
        <w:rPr>
          <w:sz w:val="18"/>
        </w:rPr>
      </w:pPr>
      <w:r>
        <w:rPr>
          <w:w w:val="115"/>
          <w:sz w:val="20"/>
        </w:rPr>
        <w:t>Depunerea</w:t>
      </w:r>
      <w:r>
        <w:rPr>
          <w:spacing w:val="-6"/>
          <w:w w:val="115"/>
          <w:sz w:val="20"/>
        </w:rPr>
        <w:t> </w:t>
      </w:r>
      <w:r>
        <w:rPr>
          <w:w w:val="115"/>
          <w:sz w:val="20"/>
        </w:rPr>
        <w:t>declaraţiilor</w:t>
      </w:r>
      <w:r>
        <w:rPr>
          <w:spacing w:val="-6"/>
          <w:w w:val="115"/>
          <w:sz w:val="20"/>
        </w:rPr>
        <w:t> </w:t>
      </w:r>
      <w:r>
        <w:rPr>
          <w:w w:val="115"/>
          <w:sz w:val="20"/>
        </w:rPr>
        <w:t>fiscale</w:t>
      </w:r>
      <w:r>
        <w:rPr>
          <w:spacing w:val="-5"/>
          <w:w w:val="115"/>
          <w:sz w:val="20"/>
        </w:rPr>
        <w:t> </w:t>
      </w:r>
      <w:r>
        <w:rPr>
          <w:w w:val="115"/>
          <w:sz w:val="20"/>
        </w:rPr>
        <w:t>reprezintă</w:t>
      </w:r>
      <w:r>
        <w:rPr>
          <w:spacing w:val="-6"/>
          <w:w w:val="115"/>
          <w:sz w:val="20"/>
        </w:rPr>
        <w:t> </w:t>
      </w:r>
      <w:r>
        <w:rPr>
          <w:w w:val="115"/>
          <w:sz w:val="20"/>
        </w:rPr>
        <w:t>o</w:t>
      </w:r>
      <w:r>
        <w:rPr>
          <w:spacing w:val="-5"/>
          <w:w w:val="115"/>
          <w:sz w:val="20"/>
        </w:rPr>
        <w:t> </w:t>
      </w:r>
      <w:r>
        <w:rPr>
          <w:w w:val="115"/>
          <w:sz w:val="20"/>
        </w:rPr>
        <w:t>obligaţie</w:t>
      </w:r>
      <w:r>
        <w:rPr>
          <w:spacing w:val="-6"/>
          <w:w w:val="115"/>
          <w:sz w:val="20"/>
        </w:rPr>
        <w:t> </w:t>
      </w:r>
      <w:r>
        <w:rPr>
          <w:w w:val="115"/>
          <w:sz w:val="20"/>
        </w:rPr>
        <w:t>şi</w:t>
      </w:r>
      <w:r>
        <w:rPr>
          <w:spacing w:val="-5"/>
          <w:w w:val="115"/>
          <w:sz w:val="20"/>
        </w:rPr>
        <w:t> </w:t>
      </w:r>
      <w:r>
        <w:rPr>
          <w:w w:val="115"/>
          <w:sz w:val="20"/>
        </w:rPr>
        <w:t>în</w:t>
      </w:r>
      <w:r>
        <w:rPr>
          <w:spacing w:val="-6"/>
          <w:w w:val="115"/>
          <w:sz w:val="20"/>
        </w:rPr>
        <w:t> </w:t>
      </w:r>
      <w:r>
        <w:rPr>
          <w:w w:val="115"/>
          <w:sz w:val="20"/>
        </w:rPr>
        <w:t>cazul</w:t>
      </w:r>
      <w:r>
        <w:rPr>
          <w:spacing w:val="-5"/>
          <w:w w:val="115"/>
          <w:sz w:val="20"/>
        </w:rPr>
        <w:t> </w:t>
      </w:r>
      <w:r>
        <w:rPr>
          <w:w w:val="115"/>
          <w:sz w:val="20"/>
        </w:rPr>
        <w:t>persoanelor</w:t>
      </w:r>
      <w:r>
        <w:rPr>
          <w:spacing w:val="-6"/>
          <w:w w:val="115"/>
          <w:sz w:val="20"/>
        </w:rPr>
        <w:t> </w:t>
      </w:r>
      <w:r>
        <w:rPr>
          <w:w w:val="115"/>
          <w:sz w:val="20"/>
        </w:rPr>
        <w:t>care</w:t>
      </w:r>
      <w:r>
        <w:rPr>
          <w:spacing w:val="-5"/>
          <w:w w:val="115"/>
          <w:sz w:val="20"/>
        </w:rPr>
        <w:t> </w:t>
      </w:r>
      <w:r>
        <w:rPr>
          <w:w w:val="115"/>
          <w:sz w:val="20"/>
        </w:rPr>
        <w:t>beneficiază</w:t>
      </w:r>
      <w:r>
        <w:rPr>
          <w:spacing w:val="-6"/>
          <w:w w:val="115"/>
          <w:sz w:val="20"/>
        </w:rPr>
        <w:t> </w:t>
      </w:r>
      <w:r>
        <w:rPr>
          <w:w w:val="115"/>
          <w:sz w:val="20"/>
        </w:rPr>
        <w:t>de</w:t>
      </w:r>
      <w:r>
        <w:rPr>
          <w:spacing w:val="-5"/>
          <w:w w:val="115"/>
          <w:sz w:val="20"/>
        </w:rPr>
        <w:t> </w:t>
      </w:r>
      <w:r>
        <w:rPr>
          <w:w w:val="115"/>
          <w:sz w:val="20"/>
        </w:rPr>
        <w:t>scutiri sau reduceri de la plata impozitului pe mijloacele de</w:t>
      </w:r>
      <w:r>
        <w:rPr>
          <w:spacing w:val="-14"/>
          <w:w w:val="115"/>
          <w:sz w:val="20"/>
        </w:rPr>
        <w:t> </w:t>
      </w:r>
      <w:r>
        <w:rPr>
          <w:w w:val="115"/>
          <w:sz w:val="20"/>
        </w:rPr>
        <w:t>transport.</w:t>
      </w:r>
    </w:p>
    <w:p>
      <w:pPr>
        <w:pStyle w:val="ListParagraph"/>
        <w:numPr>
          <w:ilvl w:val="0"/>
          <w:numId w:val="20"/>
        </w:numPr>
        <w:tabs>
          <w:tab w:pos="569" w:val="left" w:leader="none"/>
        </w:tabs>
        <w:spacing w:line="271" w:lineRule="auto" w:before="109" w:after="0"/>
        <w:ind w:left="108" w:right="119" w:firstLine="120"/>
        <w:jc w:val="both"/>
        <w:rPr>
          <w:sz w:val="20"/>
        </w:rPr>
      </w:pPr>
      <w:r>
        <w:rPr>
          <w:w w:val="115"/>
          <w:sz w:val="20"/>
        </w:rPr>
        <w:t>Impozitul pe mijlocul de transport se plăteşte anual, în două rate egale, până la datele de 31 martie şi 30 septembrie</w:t>
      </w:r>
      <w:r>
        <w:rPr>
          <w:spacing w:val="-3"/>
          <w:w w:val="115"/>
          <w:sz w:val="20"/>
        </w:rPr>
        <w:t> </w:t>
      </w:r>
      <w:r>
        <w:rPr>
          <w:w w:val="115"/>
          <w:sz w:val="20"/>
        </w:rPr>
        <w:t>inclusiv.</w:t>
      </w:r>
    </w:p>
    <w:p>
      <w:pPr>
        <w:pStyle w:val="ListParagraph"/>
        <w:numPr>
          <w:ilvl w:val="0"/>
          <w:numId w:val="20"/>
        </w:numPr>
        <w:tabs>
          <w:tab w:pos="505" w:val="left" w:leader="none"/>
        </w:tabs>
        <w:spacing w:line="271" w:lineRule="auto" w:before="108" w:after="0"/>
        <w:ind w:left="108" w:right="119" w:firstLine="58"/>
        <w:jc w:val="both"/>
        <w:rPr>
          <w:sz w:val="20"/>
        </w:rPr>
      </w:pPr>
      <w:r>
        <w:rPr>
          <w:w w:val="115"/>
          <w:sz w:val="20"/>
        </w:rPr>
        <w:t>Pentru plata cu anticipaţie a impozitului pe mijlocul de transport, datorat pentru întregul an de către contribuabili,</w:t>
      </w:r>
      <w:r>
        <w:rPr>
          <w:spacing w:val="-5"/>
          <w:w w:val="115"/>
          <w:sz w:val="20"/>
        </w:rPr>
        <w:t> </w:t>
      </w:r>
      <w:r>
        <w:rPr>
          <w:w w:val="115"/>
          <w:sz w:val="20"/>
        </w:rPr>
        <w:t>până</w:t>
      </w:r>
      <w:r>
        <w:rPr>
          <w:spacing w:val="-4"/>
          <w:w w:val="115"/>
          <w:sz w:val="20"/>
        </w:rPr>
        <w:t> </w:t>
      </w:r>
      <w:r>
        <w:rPr>
          <w:w w:val="115"/>
          <w:sz w:val="20"/>
        </w:rPr>
        <w:t>la</w:t>
      </w:r>
      <w:r>
        <w:rPr>
          <w:spacing w:val="-5"/>
          <w:w w:val="115"/>
          <w:sz w:val="20"/>
        </w:rPr>
        <w:t> </w:t>
      </w:r>
      <w:r>
        <w:rPr>
          <w:w w:val="115"/>
          <w:sz w:val="20"/>
        </w:rPr>
        <w:t>data</w:t>
      </w:r>
      <w:r>
        <w:rPr>
          <w:spacing w:val="-4"/>
          <w:w w:val="115"/>
          <w:sz w:val="20"/>
        </w:rPr>
        <w:t> </w:t>
      </w:r>
      <w:r>
        <w:rPr>
          <w:w w:val="115"/>
          <w:sz w:val="20"/>
        </w:rPr>
        <w:t>de</w:t>
      </w:r>
      <w:r>
        <w:rPr>
          <w:spacing w:val="-5"/>
          <w:w w:val="115"/>
          <w:sz w:val="20"/>
        </w:rPr>
        <w:t> </w:t>
      </w:r>
      <w:r>
        <w:rPr>
          <w:w w:val="115"/>
          <w:sz w:val="20"/>
        </w:rPr>
        <w:t>31</w:t>
      </w:r>
      <w:r>
        <w:rPr>
          <w:spacing w:val="-4"/>
          <w:w w:val="115"/>
          <w:sz w:val="20"/>
        </w:rPr>
        <w:t> </w:t>
      </w:r>
      <w:r>
        <w:rPr>
          <w:w w:val="115"/>
          <w:sz w:val="20"/>
        </w:rPr>
        <w:t>martie</w:t>
      </w:r>
      <w:r>
        <w:rPr>
          <w:spacing w:val="-5"/>
          <w:w w:val="115"/>
          <w:sz w:val="20"/>
        </w:rPr>
        <w:t> </w:t>
      </w:r>
      <w:r>
        <w:rPr>
          <w:w w:val="115"/>
          <w:sz w:val="20"/>
        </w:rPr>
        <w:t>a</w:t>
      </w:r>
      <w:r>
        <w:rPr>
          <w:spacing w:val="-4"/>
          <w:w w:val="115"/>
          <w:sz w:val="20"/>
        </w:rPr>
        <w:t> </w:t>
      </w:r>
      <w:r>
        <w:rPr>
          <w:w w:val="115"/>
          <w:sz w:val="20"/>
        </w:rPr>
        <w:t>anului</w:t>
      </w:r>
      <w:r>
        <w:rPr>
          <w:spacing w:val="-5"/>
          <w:w w:val="115"/>
          <w:sz w:val="20"/>
        </w:rPr>
        <w:t> </w:t>
      </w:r>
      <w:r>
        <w:rPr>
          <w:w w:val="115"/>
          <w:sz w:val="20"/>
        </w:rPr>
        <w:t>respectiv</w:t>
      </w:r>
      <w:r>
        <w:rPr>
          <w:spacing w:val="-4"/>
          <w:w w:val="115"/>
          <w:sz w:val="20"/>
        </w:rPr>
        <w:t> </w:t>
      </w:r>
      <w:r>
        <w:rPr>
          <w:w w:val="115"/>
          <w:sz w:val="20"/>
        </w:rPr>
        <w:t>inclusiv,</w:t>
      </w:r>
      <w:r>
        <w:rPr>
          <w:spacing w:val="-5"/>
          <w:w w:val="115"/>
          <w:sz w:val="20"/>
        </w:rPr>
        <w:t> </w:t>
      </w:r>
      <w:r>
        <w:rPr>
          <w:w w:val="115"/>
          <w:sz w:val="20"/>
        </w:rPr>
        <w:t>se</w:t>
      </w:r>
      <w:r>
        <w:rPr>
          <w:spacing w:val="-4"/>
          <w:w w:val="115"/>
          <w:sz w:val="20"/>
        </w:rPr>
        <w:t> </w:t>
      </w:r>
      <w:r>
        <w:rPr>
          <w:w w:val="115"/>
          <w:sz w:val="20"/>
        </w:rPr>
        <w:t>acordă</w:t>
      </w:r>
      <w:r>
        <w:rPr>
          <w:spacing w:val="-5"/>
          <w:w w:val="115"/>
          <w:sz w:val="20"/>
        </w:rPr>
        <w:t> </w:t>
      </w:r>
      <w:r>
        <w:rPr>
          <w:w w:val="115"/>
          <w:sz w:val="20"/>
        </w:rPr>
        <w:t>o</w:t>
      </w:r>
      <w:r>
        <w:rPr>
          <w:spacing w:val="-4"/>
          <w:w w:val="115"/>
          <w:sz w:val="20"/>
        </w:rPr>
        <w:t> </w:t>
      </w:r>
      <w:r>
        <w:rPr>
          <w:w w:val="115"/>
          <w:sz w:val="20"/>
        </w:rPr>
        <w:t>bonificaţie</w:t>
      </w:r>
      <w:r>
        <w:rPr>
          <w:spacing w:val="-5"/>
          <w:w w:val="115"/>
          <w:sz w:val="20"/>
        </w:rPr>
        <w:t> </w:t>
      </w:r>
      <w:r>
        <w:rPr>
          <w:w w:val="115"/>
          <w:sz w:val="20"/>
        </w:rPr>
        <w:t>de</w:t>
      </w:r>
      <w:r>
        <w:rPr>
          <w:spacing w:val="-4"/>
          <w:w w:val="115"/>
          <w:sz w:val="20"/>
        </w:rPr>
        <w:t> </w:t>
      </w:r>
      <w:r>
        <w:rPr>
          <w:w w:val="115"/>
          <w:sz w:val="20"/>
        </w:rPr>
        <w:t>10%</w:t>
      </w:r>
      <w:r>
        <w:rPr>
          <w:spacing w:val="-5"/>
          <w:w w:val="115"/>
          <w:sz w:val="20"/>
        </w:rPr>
        <w:t> </w:t>
      </w:r>
      <w:r>
        <w:rPr>
          <w:w w:val="115"/>
          <w:sz w:val="20"/>
        </w:rPr>
        <w:t>.</w:t>
      </w:r>
    </w:p>
    <w:p>
      <w:pPr>
        <w:pStyle w:val="ListParagraph"/>
        <w:numPr>
          <w:ilvl w:val="0"/>
          <w:numId w:val="20"/>
        </w:numPr>
        <w:tabs>
          <w:tab w:pos="443" w:val="left" w:leader="none"/>
        </w:tabs>
        <w:spacing w:line="271" w:lineRule="auto" w:before="109" w:after="0"/>
        <w:ind w:left="108" w:right="112" w:firstLine="0"/>
        <w:jc w:val="both"/>
        <w:rPr>
          <w:sz w:val="20"/>
        </w:rPr>
      </w:pPr>
      <w:r>
        <w:rPr>
          <w:w w:val="115"/>
          <w:sz w:val="20"/>
        </w:rPr>
        <w:t>Impozitul</w:t>
      </w:r>
      <w:r>
        <w:rPr>
          <w:spacing w:val="-8"/>
          <w:w w:val="115"/>
          <w:sz w:val="20"/>
        </w:rPr>
        <w:t> </w:t>
      </w:r>
      <w:r>
        <w:rPr>
          <w:w w:val="115"/>
          <w:sz w:val="20"/>
        </w:rPr>
        <w:t>anual</w:t>
      </w:r>
      <w:r>
        <w:rPr>
          <w:spacing w:val="-7"/>
          <w:w w:val="115"/>
          <w:sz w:val="20"/>
        </w:rPr>
        <w:t> </w:t>
      </w:r>
      <w:r>
        <w:rPr>
          <w:w w:val="115"/>
          <w:sz w:val="20"/>
        </w:rPr>
        <w:t>pe</w:t>
      </w:r>
      <w:r>
        <w:rPr>
          <w:spacing w:val="-7"/>
          <w:w w:val="115"/>
          <w:sz w:val="20"/>
        </w:rPr>
        <w:t> </w:t>
      </w:r>
      <w:r>
        <w:rPr>
          <w:w w:val="115"/>
          <w:sz w:val="20"/>
        </w:rPr>
        <w:t>mijlocul</w:t>
      </w:r>
      <w:r>
        <w:rPr>
          <w:spacing w:val="-8"/>
          <w:w w:val="115"/>
          <w:sz w:val="20"/>
        </w:rPr>
        <w:t> </w:t>
      </w:r>
      <w:r>
        <w:rPr>
          <w:w w:val="115"/>
          <w:sz w:val="20"/>
        </w:rPr>
        <w:t>de</w:t>
      </w:r>
      <w:r>
        <w:rPr>
          <w:spacing w:val="-7"/>
          <w:w w:val="115"/>
          <w:sz w:val="20"/>
        </w:rPr>
        <w:t> </w:t>
      </w:r>
      <w:r>
        <w:rPr>
          <w:w w:val="115"/>
          <w:sz w:val="20"/>
        </w:rPr>
        <w:t>transport,</w:t>
      </w:r>
      <w:r>
        <w:rPr>
          <w:spacing w:val="-7"/>
          <w:w w:val="115"/>
          <w:sz w:val="20"/>
        </w:rPr>
        <w:t> </w:t>
      </w:r>
      <w:r>
        <w:rPr>
          <w:w w:val="115"/>
          <w:sz w:val="20"/>
        </w:rPr>
        <w:t>datorat</w:t>
      </w:r>
      <w:r>
        <w:rPr>
          <w:spacing w:val="-8"/>
          <w:w w:val="115"/>
          <w:sz w:val="20"/>
        </w:rPr>
        <w:t> </w:t>
      </w:r>
      <w:r>
        <w:rPr>
          <w:w w:val="115"/>
          <w:sz w:val="20"/>
        </w:rPr>
        <w:t>aceluiaşi</w:t>
      </w:r>
      <w:r>
        <w:rPr>
          <w:spacing w:val="-7"/>
          <w:w w:val="115"/>
          <w:sz w:val="20"/>
        </w:rPr>
        <w:t> </w:t>
      </w:r>
      <w:r>
        <w:rPr>
          <w:w w:val="115"/>
          <w:sz w:val="20"/>
        </w:rPr>
        <w:t>buget</w:t>
      </w:r>
      <w:r>
        <w:rPr>
          <w:spacing w:val="-7"/>
          <w:w w:val="115"/>
          <w:sz w:val="20"/>
        </w:rPr>
        <w:t> </w:t>
      </w:r>
      <w:r>
        <w:rPr>
          <w:w w:val="115"/>
          <w:sz w:val="20"/>
        </w:rPr>
        <w:t>local</w:t>
      </w:r>
      <w:r>
        <w:rPr>
          <w:spacing w:val="-7"/>
          <w:w w:val="115"/>
          <w:sz w:val="20"/>
        </w:rPr>
        <w:t> </w:t>
      </w:r>
      <w:r>
        <w:rPr>
          <w:w w:val="115"/>
          <w:sz w:val="20"/>
        </w:rPr>
        <w:t>de</w:t>
      </w:r>
      <w:r>
        <w:rPr>
          <w:spacing w:val="-8"/>
          <w:w w:val="115"/>
          <w:sz w:val="20"/>
        </w:rPr>
        <w:t> </w:t>
      </w:r>
      <w:r>
        <w:rPr>
          <w:w w:val="115"/>
          <w:sz w:val="20"/>
        </w:rPr>
        <w:t>către</w:t>
      </w:r>
      <w:r>
        <w:rPr>
          <w:spacing w:val="-7"/>
          <w:w w:val="115"/>
          <w:sz w:val="20"/>
        </w:rPr>
        <w:t> </w:t>
      </w:r>
      <w:r>
        <w:rPr>
          <w:w w:val="115"/>
          <w:sz w:val="20"/>
        </w:rPr>
        <w:t>contribuabili,</w:t>
      </w:r>
      <w:r>
        <w:rPr>
          <w:spacing w:val="-7"/>
          <w:w w:val="115"/>
          <w:sz w:val="20"/>
        </w:rPr>
        <w:t> </w:t>
      </w:r>
      <w:r>
        <w:rPr>
          <w:w w:val="115"/>
          <w:sz w:val="20"/>
        </w:rPr>
        <w:t>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w:t>
      </w:r>
      <w:r>
        <w:rPr>
          <w:spacing w:val="-8"/>
          <w:w w:val="115"/>
          <w:sz w:val="20"/>
        </w:rPr>
        <w:t> </w:t>
      </w:r>
      <w:r>
        <w:rPr>
          <w:w w:val="115"/>
          <w:sz w:val="20"/>
        </w:rPr>
        <w:t>acestora.</w:t>
      </w:r>
    </w:p>
    <w:p>
      <w:pPr>
        <w:pStyle w:val="Heading2"/>
        <w:tabs>
          <w:tab w:pos="9335" w:val="left" w:leader="none"/>
        </w:tabs>
        <w:spacing w:before="112"/>
        <w:jc w:val="both"/>
      </w:pPr>
      <w:r>
        <w:rPr/>
        <w:t>Scutiri</w:t>
      </w:r>
      <w:r>
        <w:rPr>
          <w:spacing w:val="-13"/>
        </w:rPr>
        <w:t> </w:t>
      </w:r>
      <w:r>
        <w:rPr/>
        <w:t>:</w:t>
        <w:tab/>
        <w:t>Nu</w:t>
      </w:r>
      <w:r>
        <w:rPr>
          <w:spacing w:val="13"/>
        </w:rPr>
        <w:t> </w:t>
      </w:r>
      <w:r>
        <w:rPr/>
        <w:t>se</w:t>
      </w:r>
    </w:p>
    <w:p>
      <w:pPr>
        <w:spacing w:before="44"/>
        <w:ind w:left="107" w:right="0" w:firstLine="0"/>
        <w:jc w:val="both"/>
        <w:rPr>
          <w:sz w:val="20"/>
        </w:rPr>
      </w:pPr>
      <w:r>
        <w:rPr>
          <w:rFonts w:ascii="Arial" w:hAnsi="Arial"/>
          <w:b/>
          <w:w w:val="105"/>
          <w:sz w:val="20"/>
        </w:rPr>
        <w:t>datorează impozitul </w:t>
      </w:r>
      <w:r>
        <w:rPr>
          <w:w w:val="105"/>
          <w:sz w:val="20"/>
        </w:rPr>
        <w:t>pentru:</w:t>
      </w:r>
    </w:p>
    <w:p>
      <w:pPr>
        <w:spacing w:after="0"/>
        <w:jc w:val="both"/>
        <w:rPr>
          <w:sz w:val="20"/>
        </w:rPr>
        <w:sectPr>
          <w:pgSz w:w="11900" w:h="16840"/>
          <w:pgMar w:header="0" w:footer="280" w:top="880" w:bottom="560" w:left="1140" w:right="740"/>
        </w:sectPr>
      </w:pPr>
    </w:p>
    <w:p>
      <w:pPr>
        <w:pStyle w:val="ListParagraph"/>
        <w:numPr>
          <w:ilvl w:val="0"/>
          <w:numId w:val="22"/>
        </w:numPr>
        <w:tabs>
          <w:tab w:pos="367" w:val="left" w:leader="none"/>
        </w:tabs>
        <w:spacing w:line="271" w:lineRule="auto" w:before="100" w:after="0"/>
        <w:ind w:left="108" w:right="116" w:firstLine="0"/>
        <w:jc w:val="both"/>
        <w:rPr>
          <w:rFonts w:ascii="Arial" w:hAnsi="Arial"/>
          <w:sz w:val="20"/>
        </w:rPr>
      </w:pPr>
      <w:r>
        <w:rPr>
          <w:w w:val="115"/>
          <w:sz w:val="20"/>
        </w:rPr>
        <w:t>mijloacele de transport aflate în proprietatea sau coproprietatea veteranilor de război, văduvelor de război sau văduvelor nerecăsătorite ale veteranilor de război, pentru un singur mijloc de transport, la alegerea</w:t>
      </w:r>
      <w:r>
        <w:rPr>
          <w:spacing w:val="-2"/>
          <w:w w:val="115"/>
          <w:sz w:val="20"/>
        </w:rPr>
        <w:t> </w:t>
      </w:r>
      <w:r>
        <w:rPr>
          <w:w w:val="115"/>
          <w:sz w:val="20"/>
        </w:rPr>
        <w:t>contribuabilului;</w:t>
      </w:r>
    </w:p>
    <w:p>
      <w:pPr>
        <w:pStyle w:val="ListParagraph"/>
        <w:numPr>
          <w:ilvl w:val="0"/>
          <w:numId w:val="22"/>
        </w:numPr>
        <w:tabs>
          <w:tab w:pos="372" w:val="left" w:leader="none"/>
        </w:tabs>
        <w:spacing w:line="271" w:lineRule="auto" w:before="109" w:after="0"/>
        <w:ind w:left="108" w:right="110" w:firstLine="0"/>
        <w:jc w:val="both"/>
        <w:rPr>
          <w:sz w:val="20"/>
        </w:rPr>
      </w:pPr>
      <w:r>
        <w:rPr>
          <w:w w:val="115"/>
          <w:sz w:val="20"/>
        </w:rPr>
        <w:t>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pPr>
        <w:pStyle w:val="ListParagraph"/>
        <w:numPr>
          <w:ilvl w:val="0"/>
          <w:numId w:val="22"/>
        </w:numPr>
        <w:tabs>
          <w:tab w:pos="337" w:val="left" w:leader="none"/>
        </w:tabs>
        <w:spacing w:line="271" w:lineRule="auto" w:before="110" w:after="0"/>
        <w:ind w:left="108" w:right="106" w:firstLine="0"/>
        <w:jc w:val="both"/>
        <w:rPr>
          <w:rFonts w:ascii="Arial" w:hAnsi="Arial"/>
          <w:sz w:val="20"/>
        </w:rPr>
      </w:pPr>
      <w:r>
        <w:rPr>
          <w:w w:val="110"/>
          <w:sz w:val="20"/>
        </w:rPr>
        <w:t>mijloacele de transport aflate în proprietatea sau coproprietatea persoanelor prevăzute la art. 1 şi art.       5 alin. (1) - (3) din</w:t>
      </w:r>
      <w:r>
        <w:rPr>
          <w:color w:val="3DA7F6"/>
          <w:w w:val="110"/>
          <w:sz w:val="20"/>
        </w:rPr>
        <w:t> </w:t>
      </w:r>
      <w:r>
        <w:rPr>
          <w:color w:val="3DA7F6"/>
          <w:w w:val="110"/>
          <w:sz w:val="20"/>
          <w:u w:val="single" w:color="3DA7F6"/>
        </w:rPr>
        <w:t>Decretul - lege nr. </w:t>
      </w:r>
      <w:r>
        <w:rPr>
          <w:color w:val="3DA7F6"/>
          <w:spacing w:val="-4"/>
          <w:w w:val="110"/>
          <w:sz w:val="20"/>
          <w:u w:val="single" w:color="3DA7F6"/>
        </w:rPr>
        <w:t>118/1990</w:t>
      </w:r>
      <w:r>
        <w:rPr>
          <w:spacing w:val="-4"/>
          <w:w w:val="110"/>
          <w:sz w:val="20"/>
        </w:rPr>
        <w:t>, </w:t>
      </w:r>
      <w:r>
        <w:rPr>
          <w:w w:val="110"/>
          <w:sz w:val="20"/>
        </w:rPr>
        <w:t>republicat, şi a persoanelor fizice prevăzute la art. 1 din</w:t>
      </w:r>
      <w:r>
        <w:rPr>
          <w:color w:val="3DA7F6"/>
          <w:w w:val="110"/>
          <w:sz w:val="20"/>
          <w:u w:val="single" w:color="3DA7F6"/>
        </w:rPr>
        <w:t> Ordonanţa Guvernului nr. 105/1999</w:t>
      </w:r>
      <w:r>
        <w:rPr>
          <w:w w:val="110"/>
          <w:sz w:val="20"/>
        </w:rPr>
        <w:t>, republicată, cu modificările şi completările  ulterioare,  pentru  un  singur mijloc de transport, la alegerea contribuabilului; scutirea rămâne valabilă şi în cazul transferului mijlocului de transport prin moştenire către copiii acestora;</w:t>
      </w:r>
      <w:r>
        <w:rPr>
          <w:spacing w:val="24"/>
          <w:w w:val="110"/>
          <w:sz w:val="20"/>
        </w:rPr>
        <w:t> </w:t>
      </w:r>
      <w:r>
        <w:rPr>
          <w:w w:val="110"/>
          <w:sz w:val="20"/>
        </w:rPr>
        <w:t>;</w:t>
      </w:r>
    </w:p>
    <w:p>
      <w:pPr>
        <w:pStyle w:val="ListParagraph"/>
        <w:numPr>
          <w:ilvl w:val="0"/>
          <w:numId w:val="22"/>
        </w:numPr>
        <w:tabs>
          <w:tab w:pos="415" w:val="left" w:leader="none"/>
        </w:tabs>
        <w:spacing w:line="271" w:lineRule="auto" w:before="110" w:after="0"/>
        <w:ind w:left="108" w:right="114" w:firstLine="0"/>
        <w:jc w:val="both"/>
        <w:rPr>
          <w:rFonts w:ascii="Arial" w:hAnsi="Arial"/>
          <w:sz w:val="20"/>
        </w:rPr>
      </w:pPr>
      <w:r>
        <w:rPr>
          <w:w w:val="115"/>
          <w:sz w:val="20"/>
        </w:rPr>
        <w:t>navele fluviale de pasageri, bărcile şi luntrele folosite pentru transportul persoanelor fizice cu domiciliul în Delta Dunării, Insula Mare a Brăilei şi Insula Balta</w:t>
      </w:r>
      <w:r>
        <w:rPr>
          <w:spacing w:val="-23"/>
          <w:w w:val="115"/>
          <w:sz w:val="20"/>
        </w:rPr>
        <w:t> </w:t>
      </w:r>
      <w:r>
        <w:rPr>
          <w:w w:val="115"/>
          <w:sz w:val="20"/>
        </w:rPr>
        <w:t>Ialomiţei;</w:t>
      </w:r>
    </w:p>
    <w:p>
      <w:pPr>
        <w:pStyle w:val="ListParagraph"/>
        <w:numPr>
          <w:ilvl w:val="0"/>
          <w:numId w:val="22"/>
        </w:numPr>
        <w:tabs>
          <w:tab w:pos="331" w:val="left" w:leader="none"/>
        </w:tabs>
        <w:spacing w:line="240" w:lineRule="auto" w:before="109" w:after="0"/>
        <w:ind w:left="330" w:right="0" w:hanging="222"/>
        <w:jc w:val="both"/>
        <w:rPr>
          <w:sz w:val="20"/>
        </w:rPr>
      </w:pPr>
      <w:r>
        <w:rPr>
          <w:w w:val="115"/>
          <w:sz w:val="20"/>
        </w:rPr>
        <w:t>mijloacele de transport ale instituţiilor</w:t>
      </w:r>
      <w:r>
        <w:rPr>
          <w:spacing w:val="-8"/>
          <w:w w:val="115"/>
          <w:sz w:val="20"/>
        </w:rPr>
        <w:t> </w:t>
      </w:r>
      <w:r>
        <w:rPr>
          <w:w w:val="115"/>
          <w:sz w:val="20"/>
        </w:rPr>
        <w:t>publice;</w:t>
      </w:r>
    </w:p>
    <w:p>
      <w:pPr>
        <w:pStyle w:val="ListParagraph"/>
        <w:numPr>
          <w:ilvl w:val="0"/>
          <w:numId w:val="22"/>
        </w:numPr>
        <w:tabs>
          <w:tab w:pos="317" w:val="left" w:leader="none"/>
        </w:tabs>
        <w:spacing w:line="271" w:lineRule="auto" w:before="139" w:after="0"/>
        <w:ind w:left="108" w:right="115" w:firstLine="0"/>
        <w:jc w:val="both"/>
        <w:rPr>
          <w:rFonts w:ascii="Arial" w:hAnsi="Arial"/>
          <w:sz w:val="20"/>
        </w:rPr>
      </w:pPr>
      <w:r>
        <w:rPr>
          <w:w w:val="115"/>
          <w:sz w:val="20"/>
        </w:rPr>
        <w:t>mijloacele de transport ale persoanelor juridice, care sunt utilizate pentru servicii de transport public de pasageri în regim urban sau suburban, inclusiv transportul de pasageri în afara unei localităţi, dacă tariful de transport este stabilit în condiţii de transport</w:t>
      </w:r>
      <w:r>
        <w:rPr>
          <w:spacing w:val="-16"/>
          <w:w w:val="115"/>
          <w:sz w:val="20"/>
        </w:rPr>
        <w:t> </w:t>
      </w:r>
      <w:r>
        <w:rPr>
          <w:w w:val="115"/>
          <w:sz w:val="20"/>
        </w:rPr>
        <w:t>public;</w:t>
      </w:r>
    </w:p>
    <w:p>
      <w:pPr>
        <w:pStyle w:val="ListParagraph"/>
        <w:numPr>
          <w:ilvl w:val="0"/>
          <w:numId w:val="22"/>
        </w:numPr>
        <w:tabs>
          <w:tab w:pos="329" w:val="left" w:leader="none"/>
        </w:tabs>
        <w:spacing w:line="240" w:lineRule="auto" w:before="109" w:after="0"/>
        <w:ind w:left="328" w:right="0" w:hanging="220"/>
        <w:jc w:val="both"/>
        <w:rPr>
          <w:rFonts w:ascii="Arial" w:hAnsi="Arial"/>
          <w:sz w:val="20"/>
        </w:rPr>
      </w:pPr>
      <w:r>
        <w:rPr>
          <w:w w:val="115"/>
          <w:sz w:val="20"/>
        </w:rPr>
        <w:t>vehiculele istorice definite conform prevederilor legale în</w:t>
      </w:r>
      <w:r>
        <w:rPr>
          <w:spacing w:val="-16"/>
          <w:w w:val="115"/>
          <w:sz w:val="20"/>
        </w:rPr>
        <w:t> </w:t>
      </w:r>
      <w:r>
        <w:rPr>
          <w:w w:val="115"/>
          <w:sz w:val="20"/>
        </w:rPr>
        <w:t>vigoare;</w:t>
      </w:r>
    </w:p>
    <w:p>
      <w:pPr>
        <w:pStyle w:val="ListParagraph"/>
        <w:numPr>
          <w:ilvl w:val="0"/>
          <w:numId w:val="22"/>
        </w:numPr>
        <w:tabs>
          <w:tab w:pos="345" w:val="left" w:leader="none"/>
        </w:tabs>
        <w:spacing w:line="240" w:lineRule="auto" w:before="140" w:after="0"/>
        <w:ind w:left="344" w:right="0" w:hanging="236"/>
        <w:jc w:val="both"/>
        <w:rPr>
          <w:rFonts w:ascii="Arial" w:hAnsi="Arial"/>
          <w:sz w:val="20"/>
        </w:rPr>
      </w:pPr>
      <w:r>
        <w:rPr>
          <w:w w:val="115"/>
          <w:sz w:val="20"/>
        </w:rPr>
        <w:t>mijloacele de transport folosite exclusiv pentru transportul stupilor în</w:t>
      </w:r>
      <w:r>
        <w:rPr>
          <w:spacing w:val="-22"/>
          <w:w w:val="115"/>
          <w:sz w:val="20"/>
        </w:rPr>
        <w:t> </w:t>
      </w:r>
      <w:r>
        <w:rPr>
          <w:w w:val="115"/>
          <w:sz w:val="20"/>
        </w:rPr>
        <w:t>pastoral;</w:t>
      </w:r>
    </w:p>
    <w:p>
      <w:pPr>
        <w:pStyle w:val="ListParagraph"/>
        <w:numPr>
          <w:ilvl w:val="0"/>
          <w:numId w:val="22"/>
        </w:numPr>
        <w:tabs>
          <w:tab w:pos="283" w:val="left" w:leader="none"/>
        </w:tabs>
        <w:spacing w:line="240" w:lineRule="auto" w:before="140" w:after="0"/>
        <w:ind w:left="282" w:right="0" w:hanging="174"/>
        <w:jc w:val="both"/>
        <w:rPr>
          <w:rFonts w:ascii="Arial" w:hAnsi="Arial"/>
          <w:sz w:val="20"/>
        </w:rPr>
      </w:pPr>
      <w:r>
        <w:rPr>
          <w:w w:val="115"/>
          <w:sz w:val="20"/>
        </w:rPr>
        <w:t>mijloacele de transport folosite exclusiv pentru intervenţii în situaţii de</w:t>
      </w:r>
      <w:r>
        <w:rPr>
          <w:spacing w:val="-31"/>
          <w:w w:val="115"/>
          <w:sz w:val="20"/>
        </w:rPr>
        <w:t> </w:t>
      </w:r>
      <w:r>
        <w:rPr>
          <w:w w:val="115"/>
          <w:sz w:val="20"/>
        </w:rPr>
        <w:t>urgenţă;</w:t>
      </w:r>
    </w:p>
    <w:p>
      <w:pPr>
        <w:pStyle w:val="ListParagraph"/>
        <w:numPr>
          <w:ilvl w:val="0"/>
          <w:numId w:val="22"/>
        </w:numPr>
        <w:tabs>
          <w:tab w:pos="309" w:val="left" w:leader="none"/>
        </w:tabs>
        <w:spacing w:line="271" w:lineRule="auto" w:before="139" w:after="0"/>
        <w:ind w:left="108" w:right="112" w:firstLine="0"/>
        <w:jc w:val="both"/>
        <w:rPr>
          <w:rFonts w:ascii="Arial" w:hAnsi="Arial"/>
          <w:sz w:val="20"/>
        </w:rPr>
      </w:pPr>
      <w:r>
        <w:rPr>
          <w:w w:val="115"/>
          <w:sz w:val="20"/>
        </w:rPr>
        <w:t>mijloacele de transport ale instituţiilor sau unităţilor care funcţionează sub coordonarea Ministerului Educaţiei şi Cercetării Ştiinţifice sau a Ministerului Tineretului şi</w:t>
      </w:r>
      <w:r>
        <w:rPr>
          <w:spacing w:val="-24"/>
          <w:w w:val="115"/>
          <w:sz w:val="20"/>
        </w:rPr>
        <w:t> </w:t>
      </w:r>
      <w:r>
        <w:rPr>
          <w:w w:val="115"/>
          <w:sz w:val="20"/>
        </w:rPr>
        <w:t>Sportului;</w:t>
      </w:r>
    </w:p>
    <w:p>
      <w:pPr>
        <w:pStyle w:val="ListParagraph"/>
        <w:numPr>
          <w:ilvl w:val="0"/>
          <w:numId w:val="22"/>
        </w:numPr>
        <w:tabs>
          <w:tab w:pos="346" w:val="left" w:leader="none"/>
        </w:tabs>
        <w:spacing w:line="271" w:lineRule="auto" w:before="109" w:after="0"/>
        <w:ind w:left="108" w:right="112" w:firstLine="0"/>
        <w:jc w:val="both"/>
        <w:rPr>
          <w:rFonts w:ascii="Arial" w:hAnsi="Arial"/>
          <w:sz w:val="20"/>
        </w:rPr>
      </w:pPr>
      <w:r>
        <w:rPr>
          <w:w w:val="115"/>
          <w:sz w:val="20"/>
        </w:rPr>
        <w:t>mijloacele</w:t>
      </w:r>
      <w:r>
        <w:rPr>
          <w:spacing w:val="-9"/>
          <w:w w:val="115"/>
          <w:sz w:val="20"/>
        </w:rPr>
        <w:t> </w:t>
      </w:r>
      <w:r>
        <w:rPr>
          <w:w w:val="115"/>
          <w:sz w:val="20"/>
        </w:rPr>
        <w:t>de</w:t>
      </w:r>
      <w:r>
        <w:rPr>
          <w:spacing w:val="-9"/>
          <w:w w:val="115"/>
          <w:sz w:val="20"/>
        </w:rPr>
        <w:t> </w:t>
      </w:r>
      <w:r>
        <w:rPr>
          <w:w w:val="115"/>
          <w:sz w:val="20"/>
        </w:rPr>
        <w:t>transport</w:t>
      </w:r>
      <w:r>
        <w:rPr>
          <w:spacing w:val="-9"/>
          <w:w w:val="115"/>
          <w:sz w:val="20"/>
        </w:rPr>
        <w:t> </w:t>
      </w:r>
      <w:r>
        <w:rPr>
          <w:w w:val="115"/>
          <w:sz w:val="20"/>
        </w:rPr>
        <w:t>ale</w:t>
      </w:r>
      <w:r>
        <w:rPr>
          <w:spacing w:val="-9"/>
          <w:w w:val="115"/>
          <w:sz w:val="20"/>
        </w:rPr>
        <w:t> </w:t>
      </w:r>
      <w:r>
        <w:rPr>
          <w:w w:val="115"/>
          <w:sz w:val="20"/>
        </w:rPr>
        <w:t>fundaţiilor</w:t>
      </w:r>
      <w:r>
        <w:rPr>
          <w:spacing w:val="-9"/>
          <w:w w:val="115"/>
          <w:sz w:val="20"/>
        </w:rPr>
        <w:t> </w:t>
      </w:r>
      <w:r>
        <w:rPr>
          <w:w w:val="115"/>
          <w:sz w:val="20"/>
        </w:rPr>
        <w:t>înfiinţate</w:t>
      </w:r>
      <w:r>
        <w:rPr>
          <w:spacing w:val="-9"/>
          <w:w w:val="115"/>
          <w:sz w:val="20"/>
        </w:rPr>
        <w:t> </w:t>
      </w:r>
      <w:r>
        <w:rPr>
          <w:w w:val="115"/>
          <w:sz w:val="20"/>
        </w:rPr>
        <w:t>prin</w:t>
      </w:r>
      <w:r>
        <w:rPr>
          <w:spacing w:val="-9"/>
          <w:w w:val="115"/>
          <w:sz w:val="20"/>
        </w:rPr>
        <w:t> </w:t>
      </w:r>
      <w:r>
        <w:rPr>
          <w:w w:val="115"/>
          <w:sz w:val="20"/>
        </w:rPr>
        <w:t>testament</w:t>
      </w:r>
      <w:r>
        <w:rPr>
          <w:spacing w:val="-9"/>
          <w:w w:val="115"/>
          <w:sz w:val="20"/>
        </w:rPr>
        <w:t> </w:t>
      </w:r>
      <w:r>
        <w:rPr>
          <w:w w:val="115"/>
          <w:sz w:val="20"/>
        </w:rPr>
        <w:t>constituite</w:t>
      </w:r>
      <w:r>
        <w:rPr>
          <w:spacing w:val="-9"/>
          <w:w w:val="115"/>
          <w:sz w:val="20"/>
        </w:rPr>
        <w:t> </w:t>
      </w:r>
      <w:r>
        <w:rPr>
          <w:w w:val="115"/>
          <w:sz w:val="20"/>
        </w:rPr>
        <w:t>conform</w:t>
      </w:r>
      <w:r>
        <w:rPr>
          <w:spacing w:val="-9"/>
          <w:w w:val="115"/>
          <w:sz w:val="20"/>
        </w:rPr>
        <w:t> </w:t>
      </w:r>
      <w:r>
        <w:rPr>
          <w:w w:val="115"/>
          <w:sz w:val="20"/>
        </w:rPr>
        <w:t>legii,</w:t>
      </w:r>
      <w:r>
        <w:rPr>
          <w:spacing w:val="-9"/>
          <w:w w:val="115"/>
          <w:sz w:val="20"/>
        </w:rPr>
        <w:t> </w:t>
      </w:r>
      <w:r>
        <w:rPr>
          <w:w w:val="115"/>
          <w:sz w:val="20"/>
        </w:rPr>
        <w:t>cu</w:t>
      </w:r>
      <w:r>
        <w:rPr>
          <w:spacing w:val="-9"/>
          <w:w w:val="115"/>
          <w:sz w:val="20"/>
        </w:rPr>
        <w:t> </w:t>
      </w:r>
      <w:r>
        <w:rPr>
          <w:w w:val="115"/>
          <w:sz w:val="20"/>
        </w:rPr>
        <w:t>scopul</w:t>
      </w:r>
      <w:r>
        <w:rPr>
          <w:spacing w:val="-9"/>
          <w:w w:val="115"/>
          <w:sz w:val="20"/>
        </w:rPr>
        <w:t> </w:t>
      </w:r>
      <w:r>
        <w:rPr>
          <w:w w:val="115"/>
          <w:sz w:val="20"/>
        </w:rPr>
        <w:t>de</w:t>
      </w:r>
      <w:r>
        <w:rPr>
          <w:spacing w:val="-9"/>
          <w:w w:val="115"/>
          <w:sz w:val="20"/>
        </w:rPr>
        <w:t> </w:t>
      </w:r>
      <w:r>
        <w:rPr>
          <w:w w:val="115"/>
          <w:sz w:val="20"/>
        </w:rPr>
        <w:t>a întreţine, dezvolta şi ajuta instituţii de cultură naţională, precum şi de a susţine acţiuni cu caracter umanitar, social şi</w:t>
      </w:r>
      <w:r>
        <w:rPr>
          <w:spacing w:val="-4"/>
          <w:w w:val="115"/>
          <w:sz w:val="20"/>
        </w:rPr>
        <w:t> </w:t>
      </w:r>
      <w:r>
        <w:rPr>
          <w:w w:val="115"/>
          <w:sz w:val="20"/>
        </w:rPr>
        <w:t>cultural;</w:t>
      </w:r>
    </w:p>
    <w:p>
      <w:pPr>
        <w:pStyle w:val="ListParagraph"/>
        <w:numPr>
          <w:ilvl w:val="0"/>
          <w:numId w:val="22"/>
        </w:numPr>
        <w:tabs>
          <w:tab w:pos="331" w:val="left" w:leader="none"/>
        </w:tabs>
        <w:spacing w:line="271" w:lineRule="auto" w:before="109" w:after="0"/>
        <w:ind w:left="108" w:right="108" w:firstLine="0"/>
        <w:jc w:val="both"/>
        <w:rPr>
          <w:rFonts w:ascii="Arial" w:hAnsi="Arial"/>
          <w:sz w:val="20"/>
        </w:rPr>
      </w:pPr>
      <w:r>
        <w:rPr>
          <w:w w:val="115"/>
          <w:sz w:val="20"/>
        </w:rPr>
        <w:t>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w:t>
      </w:r>
      <w:r>
        <w:rPr>
          <w:spacing w:val="-4"/>
          <w:w w:val="115"/>
          <w:sz w:val="20"/>
        </w:rPr>
        <w:t> </w:t>
      </w:r>
      <w:r>
        <w:rPr>
          <w:w w:val="115"/>
          <w:sz w:val="20"/>
        </w:rPr>
        <w:t>vârstnice,</w:t>
      </w:r>
      <w:r>
        <w:rPr>
          <w:spacing w:val="-4"/>
          <w:w w:val="115"/>
          <w:sz w:val="20"/>
        </w:rPr>
        <w:t> </w:t>
      </w:r>
      <w:r>
        <w:rPr>
          <w:w w:val="115"/>
          <w:sz w:val="20"/>
        </w:rPr>
        <w:t>precum</w:t>
      </w:r>
      <w:r>
        <w:rPr>
          <w:spacing w:val="-4"/>
          <w:w w:val="115"/>
          <w:sz w:val="20"/>
        </w:rPr>
        <w:t> </w:t>
      </w:r>
      <w:r>
        <w:rPr>
          <w:w w:val="115"/>
          <w:sz w:val="20"/>
        </w:rPr>
        <w:t>şi</w:t>
      </w:r>
      <w:r>
        <w:rPr>
          <w:spacing w:val="-4"/>
          <w:w w:val="115"/>
          <w:sz w:val="20"/>
        </w:rPr>
        <w:t> </w:t>
      </w:r>
      <w:r>
        <w:rPr>
          <w:w w:val="115"/>
          <w:sz w:val="20"/>
        </w:rPr>
        <w:t>pentru</w:t>
      </w:r>
      <w:r>
        <w:rPr>
          <w:spacing w:val="-4"/>
          <w:w w:val="115"/>
          <w:sz w:val="20"/>
        </w:rPr>
        <w:t> </w:t>
      </w:r>
      <w:r>
        <w:rPr>
          <w:w w:val="115"/>
          <w:sz w:val="20"/>
        </w:rPr>
        <w:t>alte</w:t>
      </w:r>
      <w:r>
        <w:rPr>
          <w:spacing w:val="-4"/>
          <w:w w:val="115"/>
          <w:sz w:val="20"/>
        </w:rPr>
        <w:t> </w:t>
      </w:r>
      <w:r>
        <w:rPr>
          <w:w w:val="115"/>
          <w:sz w:val="20"/>
        </w:rPr>
        <w:t>persoane</w:t>
      </w:r>
      <w:r>
        <w:rPr>
          <w:spacing w:val="-3"/>
          <w:w w:val="115"/>
          <w:sz w:val="20"/>
        </w:rPr>
        <w:t> </w:t>
      </w:r>
      <w:r>
        <w:rPr>
          <w:w w:val="115"/>
          <w:sz w:val="20"/>
        </w:rPr>
        <w:t>aflate</w:t>
      </w:r>
      <w:r>
        <w:rPr>
          <w:spacing w:val="-4"/>
          <w:w w:val="115"/>
          <w:sz w:val="20"/>
        </w:rPr>
        <w:t> </w:t>
      </w:r>
      <w:r>
        <w:rPr>
          <w:w w:val="115"/>
          <w:sz w:val="20"/>
        </w:rPr>
        <w:t>în</w:t>
      </w:r>
      <w:r>
        <w:rPr>
          <w:spacing w:val="-4"/>
          <w:w w:val="115"/>
          <w:sz w:val="20"/>
        </w:rPr>
        <w:t> </w:t>
      </w:r>
      <w:r>
        <w:rPr>
          <w:w w:val="115"/>
          <w:sz w:val="20"/>
        </w:rPr>
        <w:t>dificultate,</w:t>
      </w:r>
      <w:r>
        <w:rPr>
          <w:spacing w:val="-4"/>
          <w:w w:val="115"/>
          <w:sz w:val="20"/>
        </w:rPr>
        <w:t> </w:t>
      </w:r>
      <w:r>
        <w:rPr>
          <w:w w:val="115"/>
          <w:sz w:val="20"/>
        </w:rPr>
        <w:t>în</w:t>
      </w:r>
      <w:r>
        <w:rPr>
          <w:spacing w:val="-4"/>
          <w:w w:val="115"/>
          <w:sz w:val="20"/>
        </w:rPr>
        <w:t> </w:t>
      </w:r>
      <w:r>
        <w:rPr>
          <w:w w:val="115"/>
          <w:sz w:val="20"/>
        </w:rPr>
        <w:t>condiţiile</w:t>
      </w:r>
      <w:r>
        <w:rPr>
          <w:spacing w:val="-4"/>
          <w:w w:val="115"/>
          <w:sz w:val="20"/>
        </w:rPr>
        <w:t> </w:t>
      </w:r>
      <w:r>
        <w:rPr>
          <w:w w:val="115"/>
          <w:sz w:val="20"/>
        </w:rPr>
        <w:t>legii;</w:t>
      </w:r>
    </w:p>
    <w:p>
      <w:pPr>
        <w:pStyle w:val="ListParagraph"/>
        <w:numPr>
          <w:ilvl w:val="0"/>
          <w:numId w:val="22"/>
        </w:numPr>
        <w:tabs>
          <w:tab w:pos="421" w:val="left" w:leader="none"/>
        </w:tabs>
        <w:spacing w:line="240" w:lineRule="auto" w:before="109" w:after="0"/>
        <w:ind w:left="420" w:right="0" w:hanging="312"/>
        <w:jc w:val="both"/>
        <w:rPr>
          <w:rFonts w:ascii="Arial" w:hAnsi="Arial"/>
          <w:sz w:val="20"/>
        </w:rPr>
      </w:pPr>
      <w:r>
        <w:rPr>
          <w:w w:val="110"/>
          <w:sz w:val="20"/>
        </w:rPr>
        <w:t>autovehiculele acţionate</w:t>
      </w:r>
      <w:r>
        <w:rPr>
          <w:spacing w:val="3"/>
          <w:w w:val="110"/>
          <w:sz w:val="20"/>
        </w:rPr>
        <w:t> </w:t>
      </w:r>
      <w:r>
        <w:rPr>
          <w:w w:val="110"/>
          <w:sz w:val="20"/>
        </w:rPr>
        <w:t>electric;</w:t>
      </w:r>
    </w:p>
    <w:p>
      <w:pPr>
        <w:pStyle w:val="ListParagraph"/>
        <w:numPr>
          <w:ilvl w:val="0"/>
          <w:numId w:val="22"/>
        </w:numPr>
        <w:tabs>
          <w:tab w:pos="356" w:val="left" w:leader="none"/>
        </w:tabs>
        <w:spacing w:line="271" w:lineRule="auto" w:before="140" w:after="0"/>
        <w:ind w:left="108" w:right="117" w:firstLine="0"/>
        <w:jc w:val="both"/>
        <w:rPr>
          <w:rFonts w:ascii="Arial" w:hAnsi="Arial"/>
          <w:sz w:val="20"/>
        </w:rPr>
      </w:pPr>
      <w:r>
        <w:rPr>
          <w:w w:val="115"/>
          <w:sz w:val="20"/>
        </w:rPr>
        <w:t>autovehiculele second-hand înregistrate ca stoc de marfă şi care nu sunt utilizate în folosul propriu al operatorului economic, comerciant auto sau societate de</w:t>
      </w:r>
      <w:r>
        <w:rPr>
          <w:spacing w:val="-14"/>
          <w:w w:val="115"/>
          <w:sz w:val="20"/>
        </w:rPr>
        <w:t> </w:t>
      </w:r>
      <w:r>
        <w:rPr>
          <w:w w:val="115"/>
          <w:sz w:val="20"/>
        </w:rPr>
        <w:t>leasing;</w:t>
      </w:r>
    </w:p>
    <w:p>
      <w:pPr>
        <w:pStyle w:val="ListParagraph"/>
        <w:numPr>
          <w:ilvl w:val="0"/>
          <w:numId w:val="22"/>
        </w:numPr>
        <w:tabs>
          <w:tab w:pos="345" w:val="left" w:leader="none"/>
        </w:tabs>
        <w:spacing w:line="240" w:lineRule="auto" w:before="108" w:after="0"/>
        <w:ind w:left="344" w:right="0" w:hanging="236"/>
        <w:jc w:val="both"/>
        <w:rPr>
          <w:rFonts w:ascii="Arial" w:hAnsi="Arial"/>
          <w:sz w:val="20"/>
        </w:rPr>
      </w:pPr>
      <w:r>
        <w:rPr>
          <w:w w:val="115"/>
          <w:sz w:val="20"/>
        </w:rPr>
        <w:t>mijloacele</w:t>
      </w:r>
      <w:r>
        <w:rPr>
          <w:spacing w:val="-10"/>
          <w:w w:val="115"/>
          <w:sz w:val="20"/>
        </w:rPr>
        <w:t> </w:t>
      </w:r>
      <w:r>
        <w:rPr>
          <w:w w:val="115"/>
          <w:sz w:val="20"/>
        </w:rPr>
        <w:t>de</w:t>
      </w:r>
      <w:r>
        <w:rPr>
          <w:spacing w:val="-9"/>
          <w:w w:val="115"/>
          <w:sz w:val="20"/>
        </w:rPr>
        <w:t> </w:t>
      </w:r>
      <w:r>
        <w:rPr>
          <w:w w:val="115"/>
          <w:sz w:val="20"/>
        </w:rPr>
        <w:t>transport</w:t>
      </w:r>
      <w:r>
        <w:rPr>
          <w:spacing w:val="-10"/>
          <w:w w:val="115"/>
          <w:sz w:val="20"/>
        </w:rPr>
        <w:t> </w:t>
      </w:r>
      <w:r>
        <w:rPr>
          <w:w w:val="115"/>
          <w:sz w:val="20"/>
        </w:rPr>
        <w:t>deţinute</w:t>
      </w:r>
      <w:r>
        <w:rPr>
          <w:spacing w:val="-9"/>
          <w:w w:val="115"/>
          <w:sz w:val="20"/>
        </w:rPr>
        <w:t> </w:t>
      </w:r>
      <w:r>
        <w:rPr>
          <w:w w:val="115"/>
          <w:sz w:val="20"/>
        </w:rPr>
        <w:t>de</w:t>
      </w:r>
      <w:r>
        <w:rPr>
          <w:spacing w:val="-10"/>
          <w:w w:val="115"/>
          <w:sz w:val="20"/>
        </w:rPr>
        <w:t> </w:t>
      </w:r>
      <w:r>
        <w:rPr>
          <w:w w:val="115"/>
          <w:sz w:val="20"/>
        </w:rPr>
        <w:t>către</w:t>
      </w:r>
      <w:r>
        <w:rPr>
          <w:spacing w:val="-9"/>
          <w:w w:val="115"/>
          <w:sz w:val="20"/>
        </w:rPr>
        <w:t> </w:t>
      </w:r>
      <w:r>
        <w:rPr>
          <w:w w:val="115"/>
          <w:sz w:val="20"/>
        </w:rPr>
        <w:t>organizaţiile</w:t>
      </w:r>
      <w:r>
        <w:rPr>
          <w:spacing w:val="-9"/>
          <w:w w:val="115"/>
          <w:sz w:val="20"/>
        </w:rPr>
        <w:t> </w:t>
      </w:r>
      <w:r>
        <w:rPr>
          <w:w w:val="115"/>
          <w:sz w:val="20"/>
        </w:rPr>
        <w:t>cetăţenilor</w:t>
      </w:r>
      <w:r>
        <w:rPr>
          <w:spacing w:val="-10"/>
          <w:w w:val="115"/>
          <w:sz w:val="20"/>
        </w:rPr>
        <w:t> </w:t>
      </w:r>
      <w:r>
        <w:rPr>
          <w:w w:val="115"/>
          <w:sz w:val="20"/>
        </w:rPr>
        <w:t>aparţinând</w:t>
      </w:r>
      <w:r>
        <w:rPr>
          <w:spacing w:val="-9"/>
          <w:w w:val="115"/>
          <w:sz w:val="20"/>
        </w:rPr>
        <w:t> </w:t>
      </w:r>
      <w:r>
        <w:rPr>
          <w:w w:val="115"/>
          <w:sz w:val="20"/>
        </w:rPr>
        <w:t>minorităţilor</w:t>
      </w:r>
      <w:r>
        <w:rPr>
          <w:spacing w:val="-10"/>
          <w:w w:val="115"/>
          <w:sz w:val="20"/>
        </w:rPr>
        <w:t> </w:t>
      </w:r>
      <w:r>
        <w:rPr>
          <w:w w:val="115"/>
          <w:sz w:val="20"/>
        </w:rPr>
        <w:t>naţionale.</w:t>
      </w:r>
    </w:p>
    <w:p>
      <w:pPr>
        <w:pStyle w:val="BodyText"/>
        <w:spacing w:line="271" w:lineRule="auto" w:before="140"/>
        <w:ind w:left="107" w:right="106"/>
      </w:pPr>
      <w:r>
        <w:rPr>
          <w:rFonts w:ascii="Arial" w:hAnsi="Arial"/>
          <w:b/>
          <w:w w:val="115"/>
        </w:rPr>
        <w:t>(5) </w:t>
      </w:r>
      <w:r>
        <w:rPr>
          <w:w w:val="115"/>
        </w:rPr>
        <w:t>Scutirile prevăzute la alin. (1) lit. a) - c) se acordă integral pentru un singur mijloc de transport, la alegerea</w:t>
      </w:r>
      <w:r>
        <w:rPr>
          <w:spacing w:val="-12"/>
          <w:w w:val="115"/>
        </w:rPr>
        <w:t> </w:t>
      </w:r>
      <w:r>
        <w:rPr>
          <w:w w:val="115"/>
        </w:rPr>
        <w:t>contribuabilului,</w:t>
      </w:r>
      <w:r>
        <w:rPr>
          <w:spacing w:val="-11"/>
          <w:w w:val="115"/>
        </w:rPr>
        <w:t> </w:t>
      </w:r>
      <w:r>
        <w:rPr>
          <w:w w:val="115"/>
        </w:rPr>
        <w:t>aflat</w:t>
      </w:r>
      <w:r>
        <w:rPr>
          <w:spacing w:val="-11"/>
          <w:w w:val="115"/>
        </w:rPr>
        <w:t> </w:t>
      </w:r>
      <w:r>
        <w:rPr>
          <w:w w:val="115"/>
        </w:rPr>
        <w:t>în</w:t>
      </w:r>
      <w:r>
        <w:rPr>
          <w:spacing w:val="-12"/>
          <w:w w:val="115"/>
        </w:rPr>
        <w:t> </w:t>
      </w:r>
      <w:r>
        <w:rPr>
          <w:w w:val="115"/>
        </w:rPr>
        <w:t>proprietatea</w:t>
      </w:r>
      <w:r>
        <w:rPr>
          <w:spacing w:val="-11"/>
          <w:w w:val="115"/>
        </w:rPr>
        <w:t> </w:t>
      </w:r>
      <w:r>
        <w:rPr>
          <w:w w:val="115"/>
        </w:rPr>
        <w:t>persoanelor</w:t>
      </w:r>
      <w:r>
        <w:rPr>
          <w:spacing w:val="-11"/>
          <w:w w:val="115"/>
        </w:rPr>
        <w:t> </w:t>
      </w:r>
      <w:r>
        <w:rPr>
          <w:w w:val="115"/>
        </w:rPr>
        <w:t>menţionate</w:t>
      </w:r>
      <w:r>
        <w:rPr>
          <w:spacing w:val="-12"/>
          <w:w w:val="115"/>
        </w:rPr>
        <w:t> </w:t>
      </w:r>
      <w:r>
        <w:rPr>
          <w:w w:val="115"/>
        </w:rPr>
        <w:t>la</w:t>
      </w:r>
      <w:r>
        <w:rPr>
          <w:spacing w:val="-11"/>
          <w:w w:val="115"/>
        </w:rPr>
        <w:t> </w:t>
      </w:r>
      <w:r>
        <w:rPr>
          <w:w w:val="115"/>
        </w:rPr>
        <w:t>aceste</w:t>
      </w:r>
      <w:r>
        <w:rPr>
          <w:spacing w:val="-11"/>
          <w:w w:val="115"/>
        </w:rPr>
        <w:t> </w:t>
      </w:r>
      <w:r>
        <w:rPr>
          <w:w w:val="115"/>
        </w:rPr>
        <w:t>litere,</w:t>
      </w:r>
      <w:r>
        <w:rPr>
          <w:spacing w:val="-11"/>
          <w:w w:val="115"/>
        </w:rPr>
        <w:t> </w:t>
      </w:r>
      <w:r>
        <w:rPr>
          <w:w w:val="115"/>
        </w:rPr>
        <w:t>deţinute</w:t>
      </w:r>
      <w:r>
        <w:rPr>
          <w:spacing w:val="-10"/>
          <w:w w:val="115"/>
        </w:rPr>
        <w:t> </w:t>
      </w:r>
      <w:r>
        <w:rPr>
          <w:w w:val="115"/>
        </w:rPr>
        <w:t>în</w:t>
      </w:r>
      <w:r>
        <w:rPr>
          <w:spacing w:val="-12"/>
          <w:w w:val="115"/>
        </w:rPr>
        <w:t> </w:t>
      </w:r>
      <w:r>
        <w:rPr>
          <w:w w:val="115"/>
        </w:rPr>
        <w:t>comun cu soţul sau soţia. În situaţia în care o cotă - parte din dreptul de proprietate asupra mijlocului de transport</w:t>
      </w:r>
      <w:r>
        <w:rPr>
          <w:spacing w:val="-5"/>
          <w:w w:val="115"/>
        </w:rPr>
        <w:t> </w:t>
      </w:r>
      <w:r>
        <w:rPr>
          <w:w w:val="115"/>
        </w:rPr>
        <w:t>aparţine</w:t>
      </w:r>
      <w:r>
        <w:rPr>
          <w:spacing w:val="-4"/>
          <w:w w:val="115"/>
        </w:rPr>
        <w:t> </w:t>
      </w:r>
      <w:r>
        <w:rPr>
          <w:w w:val="115"/>
        </w:rPr>
        <w:t>unor</w:t>
      </w:r>
      <w:r>
        <w:rPr>
          <w:spacing w:val="-4"/>
          <w:w w:val="115"/>
        </w:rPr>
        <w:t> </w:t>
      </w:r>
      <w:r>
        <w:rPr>
          <w:w w:val="115"/>
        </w:rPr>
        <w:t>terţi,</w:t>
      </w:r>
      <w:r>
        <w:rPr>
          <w:spacing w:val="-4"/>
          <w:w w:val="115"/>
        </w:rPr>
        <w:t> </w:t>
      </w:r>
      <w:r>
        <w:rPr>
          <w:w w:val="115"/>
        </w:rPr>
        <w:t>scutirea</w:t>
      </w:r>
      <w:r>
        <w:rPr>
          <w:spacing w:val="-5"/>
          <w:w w:val="115"/>
        </w:rPr>
        <w:t> </w:t>
      </w:r>
      <w:r>
        <w:rPr>
          <w:w w:val="115"/>
        </w:rPr>
        <w:t>nu</w:t>
      </w:r>
      <w:r>
        <w:rPr>
          <w:spacing w:val="-4"/>
          <w:w w:val="115"/>
        </w:rPr>
        <w:t> </w:t>
      </w:r>
      <w:r>
        <w:rPr>
          <w:w w:val="115"/>
        </w:rPr>
        <w:t>se</w:t>
      </w:r>
      <w:r>
        <w:rPr>
          <w:spacing w:val="-4"/>
          <w:w w:val="115"/>
        </w:rPr>
        <w:t> </w:t>
      </w:r>
      <w:r>
        <w:rPr>
          <w:w w:val="115"/>
        </w:rPr>
        <w:t>acordă</w:t>
      </w:r>
      <w:r>
        <w:rPr>
          <w:spacing w:val="-4"/>
          <w:w w:val="115"/>
        </w:rPr>
        <w:t> </w:t>
      </w:r>
      <w:r>
        <w:rPr>
          <w:w w:val="115"/>
        </w:rPr>
        <w:t>pentru</w:t>
      </w:r>
      <w:r>
        <w:rPr>
          <w:spacing w:val="-4"/>
          <w:w w:val="115"/>
        </w:rPr>
        <w:t> </w:t>
      </w:r>
      <w:r>
        <w:rPr>
          <w:w w:val="115"/>
        </w:rPr>
        <w:t>cota</w:t>
      </w:r>
      <w:r>
        <w:rPr>
          <w:spacing w:val="-5"/>
          <w:w w:val="115"/>
        </w:rPr>
        <w:t> </w:t>
      </w:r>
      <w:r>
        <w:rPr>
          <w:w w:val="115"/>
        </w:rPr>
        <w:t>-</w:t>
      </w:r>
      <w:r>
        <w:rPr>
          <w:spacing w:val="-4"/>
          <w:w w:val="115"/>
        </w:rPr>
        <w:t> </w:t>
      </w:r>
      <w:r>
        <w:rPr>
          <w:w w:val="115"/>
        </w:rPr>
        <w:t>parte</w:t>
      </w:r>
      <w:r>
        <w:rPr>
          <w:spacing w:val="-4"/>
          <w:w w:val="115"/>
        </w:rPr>
        <w:t> </w:t>
      </w:r>
      <w:r>
        <w:rPr>
          <w:w w:val="115"/>
        </w:rPr>
        <w:t>deţinută</w:t>
      </w:r>
      <w:r>
        <w:rPr>
          <w:spacing w:val="-4"/>
          <w:w w:val="115"/>
        </w:rPr>
        <w:t> </w:t>
      </w:r>
      <w:r>
        <w:rPr>
          <w:w w:val="115"/>
        </w:rPr>
        <w:t>de</w:t>
      </w:r>
      <w:r>
        <w:rPr>
          <w:spacing w:val="-5"/>
          <w:w w:val="115"/>
        </w:rPr>
        <w:t> </w:t>
      </w:r>
      <w:r>
        <w:rPr>
          <w:w w:val="115"/>
        </w:rPr>
        <w:t>aceşti</w:t>
      </w:r>
      <w:r>
        <w:rPr>
          <w:spacing w:val="-4"/>
          <w:w w:val="115"/>
        </w:rPr>
        <w:t> </w:t>
      </w:r>
      <w:r>
        <w:rPr>
          <w:w w:val="115"/>
        </w:rPr>
        <w:t>terţi.</w:t>
      </w:r>
    </w:p>
    <w:p>
      <w:pPr>
        <w:pStyle w:val="ListParagraph"/>
        <w:numPr>
          <w:ilvl w:val="1"/>
          <w:numId w:val="18"/>
        </w:numPr>
        <w:tabs>
          <w:tab w:pos="485" w:val="left" w:leader="none"/>
        </w:tabs>
        <w:spacing w:line="271" w:lineRule="auto" w:before="110" w:after="0"/>
        <w:ind w:left="108" w:right="118" w:firstLine="135"/>
        <w:jc w:val="left"/>
        <w:rPr>
          <w:sz w:val="20"/>
        </w:rPr>
      </w:pPr>
      <w:r>
        <w:rPr>
          <w:w w:val="115"/>
          <w:sz w:val="20"/>
        </w:rPr>
        <w:t>Scutirea de la plata impozitului pe mijloacele de transport, stabilită conform alin. (1) lit. b), se aplică începând</w:t>
      </w:r>
      <w:r>
        <w:rPr>
          <w:spacing w:val="-5"/>
          <w:w w:val="115"/>
          <w:sz w:val="20"/>
        </w:rPr>
        <w:t> </w:t>
      </w:r>
      <w:r>
        <w:rPr>
          <w:w w:val="115"/>
          <w:sz w:val="20"/>
        </w:rPr>
        <w:t>cu</w:t>
      </w:r>
      <w:r>
        <w:rPr>
          <w:spacing w:val="-4"/>
          <w:w w:val="115"/>
          <w:sz w:val="20"/>
        </w:rPr>
        <w:t> </w:t>
      </w:r>
      <w:r>
        <w:rPr>
          <w:w w:val="115"/>
          <w:sz w:val="20"/>
        </w:rPr>
        <w:t>data</w:t>
      </w:r>
      <w:r>
        <w:rPr>
          <w:spacing w:val="-4"/>
          <w:w w:val="115"/>
          <w:sz w:val="20"/>
        </w:rPr>
        <w:t> </w:t>
      </w:r>
      <w:r>
        <w:rPr>
          <w:w w:val="115"/>
          <w:sz w:val="20"/>
        </w:rPr>
        <w:t>de</w:t>
      </w:r>
      <w:r>
        <w:rPr>
          <w:spacing w:val="-5"/>
          <w:w w:val="115"/>
          <w:sz w:val="20"/>
        </w:rPr>
        <w:t> </w:t>
      </w:r>
      <w:r>
        <w:rPr>
          <w:w w:val="115"/>
          <w:sz w:val="20"/>
        </w:rPr>
        <w:t>1</w:t>
      </w:r>
      <w:r>
        <w:rPr>
          <w:spacing w:val="-4"/>
          <w:w w:val="115"/>
          <w:sz w:val="20"/>
        </w:rPr>
        <w:t> </w:t>
      </w:r>
      <w:r>
        <w:rPr>
          <w:w w:val="115"/>
          <w:sz w:val="20"/>
        </w:rPr>
        <w:t>a</w:t>
      </w:r>
      <w:r>
        <w:rPr>
          <w:spacing w:val="-4"/>
          <w:w w:val="115"/>
          <w:sz w:val="20"/>
        </w:rPr>
        <w:t> </w:t>
      </w:r>
      <w:r>
        <w:rPr>
          <w:w w:val="115"/>
          <w:sz w:val="20"/>
        </w:rPr>
        <w:t>lunii</w:t>
      </w:r>
      <w:r>
        <w:rPr>
          <w:spacing w:val="-5"/>
          <w:w w:val="115"/>
          <w:sz w:val="20"/>
        </w:rPr>
        <w:t> </w:t>
      </w:r>
      <w:r>
        <w:rPr>
          <w:w w:val="115"/>
          <w:sz w:val="20"/>
        </w:rPr>
        <w:t>următoare</w:t>
      </w:r>
      <w:r>
        <w:rPr>
          <w:spacing w:val="-4"/>
          <w:w w:val="115"/>
          <w:sz w:val="20"/>
        </w:rPr>
        <w:t> </w:t>
      </w:r>
      <w:r>
        <w:rPr>
          <w:w w:val="115"/>
          <w:sz w:val="20"/>
        </w:rPr>
        <w:t>celei</w:t>
      </w:r>
      <w:r>
        <w:rPr>
          <w:spacing w:val="-4"/>
          <w:w w:val="115"/>
          <w:sz w:val="20"/>
        </w:rPr>
        <w:t> </w:t>
      </w:r>
      <w:r>
        <w:rPr>
          <w:w w:val="115"/>
          <w:sz w:val="20"/>
        </w:rPr>
        <w:t>în</w:t>
      </w:r>
      <w:r>
        <w:rPr>
          <w:spacing w:val="-5"/>
          <w:w w:val="115"/>
          <w:sz w:val="20"/>
        </w:rPr>
        <w:t> </w:t>
      </w:r>
      <w:r>
        <w:rPr>
          <w:w w:val="115"/>
          <w:sz w:val="20"/>
        </w:rPr>
        <w:t>care</w:t>
      </w:r>
      <w:r>
        <w:rPr>
          <w:spacing w:val="-4"/>
          <w:w w:val="115"/>
          <w:sz w:val="20"/>
        </w:rPr>
        <w:t> </w:t>
      </w:r>
      <w:r>
        <w:rPr>
          <w:w w:val="115"/>
          <w:sz w:val="20"/>
        </w:rPr>
        <w:t>persoana</w:t>
      </w:r>
      <w:r>
        <w:rPr>
          <w:spacing w:val="-4"/>
          <w:w w:val="115"/>
          <w:sz w:val="20"/>
        </w:rPr>
        <w:t> </w:t>
      </w:r>
      <w:r>
        <w:rPr>
          <w:w w:val="115"/>
          <w:sz w:val="20"/>
        </w:rPr>
        <w:t>depune</w:t>
      </w:r>
      <w:r>
        <w:rPr>
          <w:spacing w:val="-5"/>
          <w:w w:val="115"/>
          <w:sz w:val="20"/>
        </w:rPr>
        <w:t> </w:t>
      </w:r>
      <w:r>
        <w:rPr>
          <w:w w:val="115"/>
          <w:sz w:val="20"/>
        </w:rPr>
        <w:t>documentele</w:t>
      </w:r>
      <w:r>
        <w:rPr>
          <w:spacing w:val="-4"/>
          <w:w w:val="115"/>
          <w:sz w:val="20"/>
        </w:rPr>
        <w:t> </w:t>
      </w:r>
      <w:r>
        <w:rPr>
          <w:w w:val="115"/>
          <w:sz w:val="20"/>
        </w:rPr>
        <w:t>justificative.</w:t>
      </w:r>
    </w:p>
    <w:p>
      <w:pPr>
        <w:spacing w:before="108"/>
        <w:ind w:left="937" w:right="0" w:firstLine="0"/>
        <w:jc w:val="left"/>
        <w:rPr>
          <w:sz w:val="20"/>
        </w:rPr>
      </w:pPr>
      <w:r>
        <w:rPr>
          <w:rFonts w:ascii="Arial"/>
          <w:b/>
          <w:w w:val="110"/>
          <w:sz w:val="20"/>
        </w:rPr>
        <w:t>Art. 4. </w:t>
      </w:r>
      <w:r>
        <w:rPr>
          <w:w w:val="110"/>
          <w:sz w:val="20"/>
          <w:u w:val="single"/>
        </w:rPr>
        <w:t>Alte impozite si taxe</w:t>
      </w:r>
    </w:p>
    <w:p>
      <w:pPr>
        <w:pStyle w:val="ListParagraph"/>
        <w:numPr>
          <w:ilvl w:val="2"/>
          <w:numId w:val="18"/>
        </w:numPr>
        <w:tabs>
          <w:tab w:pos="850" w:val="left" w:leader="none"/>
        </w:tabs>
        <w:spacing w:line="271" w:lineRule="auto" w:before="140" w:after="0"/>
        <w:ind w:left="108" w:right="115" w:firstLine="403"/>
        <w:jc w:val="left"/>
        <w:rPr>
          <w:sz w:val="20"/>
        </w:rPr>
      </w:pPr>
      <w:r>
        <w:rPr>
          <w:w w:val="110"/>
          <w:sz w:val="20"/>
        </w:rPr>
        <w:t>Taxa pentru eliberarea certificatului de urbanism pentru o zona rurala este prevazuta in tabelul urmator</w:t>
      </w:r>
      <w:r>
        <w:rPr>
          <w:spacing w:val="1"/>
          <w:w w:val="110"/>
          <w:sz w:val="20"/>
        </w:rPr>
        <w:t> </w:t>
      </w:r>
      <w:r>
        <w:rPr>
          <w:w w:val="110"/>
          <w:sz w:val="20"/>
        </w:rPr>
        <w:t>:</w:t>
      </w:r>
    </w:p>
    <w:p>
      <w:pPr>
        <w:pStyle w:val="BodyText"/>
        <w:spacing w:before="2"/>
        <w:ind w:left="0"/>
        <w:jc w:val="left"/>
        <w:rPr>
          <w:sz w:val="13"/>
        </w:r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4898"/>
        <w:gridCol w:w="4883"/>
      </w:tblGrid>
      <w:tr>
        <w:trPr>
          <w:trHeight w:val="271" w:hRule="atLeast"/>
        </w:trPr>
        <w:tc>
          <w:tcPr>
            <w:tcW w:w="4898" w:type="dxa"/>
          </w:tcPr>
          <w:p>
            <w:pPr>
              <w:pStyle w:val="TableParagraph"/>
              <w:spacing w:before="0"/>
              <w:ind w:left="0"/>
              <w:rPr>
                <w:rFonts w:ascii="Times New Roman"/>
                <w:sz w:val="18"/>
              </w:rPr>
            </w:pPr>
          </w:p>
        </w:tc>
        <w:tc>
          <w:tcPr>
            <w:tcW w:w="4883" w:type="dxa"/>
          </w:tcPr>
          <w:p>
            <w:pPr>
              <w:pStyle w:val="TableParagraph"/>
              <w:spacing w:before="0"/>
              <w:ind w:left="0"/>
              <w:rPr>
                <w:rFonts w:ascii="Times New Roman"/>
                <w:sz w:val="18"/>
              </w:rPr>
            </w:pPr>
          </w:p>
        </w:tc>
      </w:tr>
      <w:tr>
        <w:trPr>
          <w:trHeight w:val="363" w:hRule="atLeast"/>
        </w:trPr>
        <w:tc>
          <w:tcPr>
            <w:tcW w:w="4898" w:type="dxa"/>
          </w:tcPr>
          <w:p>
            <w:pPr>
              <w:pStyle w:val="TableParagraph"/>
              <w:rPr>
                <w:sz w:val="20"/>
              </w:rPr>
            </w:pPr>
            <w:r>
              <w:rPr>
                <w:w w:val="115"/>
                <w:sz w:val="20"/>
              </w:rPr>
              <w:t>Taxa pentru eliberarea certificatului de urbanism</w:t>
            </w:r>
          </w:p>
        </w:tc>
        <w:tc>
          <w:tcPr>
            <w:tcW w:w="4883" w:type="dxa"/>
          </w:tcPr>
          <w:p>
            <w:pPr>
              <w:pStyle w:val="TableParagraph"/>
              <w:rPr>
                <w:sz w:val="20"/>
              </w:rPr>
            </w:pPr>
            <w:r>
              <w:rPr>
                <w:w w:val="110"/>
                <w:sz w:val="20"/>
              </w:rPr>
              <w:t>-lei-</w:t>
            </w:r>
          </w:p>
        </w:tc>
      </w:tr>
      <w:tr>
        <w:trPr>
          <w:trHeight w:val="640" w:hRule="atLeast"/>
        </w:trPr>
        <w:tc>
          <w:tcPr>
            <w:tcW w:w="4898" w:type="dxa"/>
          </w:tcPr>
          <w:p>
            <w:pPr>
              <w:pStyle w:val="TableParagraph"/>
              <w:spacing w:line="271" w:lineRule="auto"/>
              <w:rPr>
                <w:sz w:val="20"/>
              </w:rPr>
            </w:pPr>
            <w:r>
              <w:rPr>
                <w:w w:val="115"/>
                <w:sz w:val="20"/>
              </w:rPr>
              <w:t>Suprafata pentru care se obtine certificatul de urbanism</w:t>
            </w:r>
          </w:p>
        </w:tc>
        <w:tc>
          <w:tcPr>
            <w:tcW w:w="4883" w:type="dxa"/>
          </w:tcPr>
          <w:p>
            <w:pPr>
              <w:pStyle w:val="TableParagraph"/>
              <w:spacing w:before="0"/>
              <w:ind w:left="0"/>
              <w:rPr>
                <w:rFonts w:ascii="Times New Roman"/>
                <w:sz w:val="18"/>
              </w:rPr>
            </w:pPr>
          </w:p>
        </w:tc>
      </w:tr>
    </w:tbl>
    <w:p>
      <w:pPr>
        <w:spacing w:after="0"/>
        <w:rPr>
          <w:rFonts w:ascii="Times New Roman"/>
          <w:sz w:val="18"/>
        </w:rPr>
        <w:sectPr>
          <w:pgSz w:w="11900" w:h="16840"/>
          <w:pgMar w:header="0" w:footer="280" w:top="500" w:bottom="560" w:left="1140" w:right="740"/>
        </w:sectPr>
      </w:pPr>
    </w:p>
    <w:tbl>
      <w:tblPr>
        <w:tblW w:w="0" w:type="auto"/>
        <w:jc w:val="left"/>
        <w:tblInd w:w="12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top w:w="0" w:type="dxa"/>
          <w:left w:w="0" w:type="dxa"/>
          <w:bottom w:w="0" w:type="dxa"/>
          <w:right w:w="0" w:type="dxa"/>
        </w:tblCellMar>
        <w:tblLook w:val="01E0"/>
      </w:tblPr>
      <w:tblGrid>
        <w:gridCol w:w="4898"/>
        <w:gridCol w:w="4883"/>
      </w:tblGrid>
      <w:tr>
        <w:trPr>
          <w:trHeight w:val="271" w:hRule="atLeast"/>
        </w:trPr>
        <w:tc>
          <w:tcPr>
            <w:tcW w:w="4898" w:type="dxa"/>
          </w:tcPr>
          <w:p>
            <w:pPr>
              <w:pStyle w:val="TableParagraph"/>
              <w:spacing w:before="0"/>
              <w:ind w:left="0"/>
              <w:rPr>
                <w:rFonts w:ascii="Times New Roman"/>
                <w:sz w:val="18"/>
              </w:rPr>
            </w:pPr>
          </w:p>
        </w:tc>
        <w:tc>
          <w:tcPr>
            <w:tcW w:w="4883" w:type="dxa"/>
          </w:tcPr>
          <w:p>
            <w:pPr>
              <w:pStyle w:val="TableParagraph"/>
              <w:spacing w:before="0"/>
              <w:ind w:left="0"/>
              <w:rPr>
                <w:rFonts w:ascii="Times New Roman"/>
                <w:sz w:val="18"/>
              </w:rPr>
            </w:pPr>
          </w:p>
        </w:tc>
      </w:tr>
      <w:tr>
        <w:trPr>
          <w:trHeight w:val="363" w:hRule="atLeast"/>
        </w:trPr>
        <w:tc>
          <w:tcPr>
            <w:tcW w:w="4898" w:type="dxa"/>
          </w:tcPr>
          <w:p>
            <w:pPr>
              <w:pStyle w:val="TableParagraph"/>
              <w:spacing w:before="64"/>
              <w:ind w:left="216"/>
              <w:rPr>
                <w:sz w:val="20"/>
              </w:rPr>
            </w:pPr>
            <w:r>
              <w:rPr>
                <w:w w:val="110"/>
                <w:sz w:val="20"/>
              </w:rPr>
              <w:t>a) pana la 150 m.p.,inclusiv</w:t>
            </w:r>
          </w:p>
        </w:tc>
        <w:tc>
          <w:tcPr>
            <w:tcW w:w="4883" w:type="dxa"/>
          </w:tcPr>
          <w:p>
            <w:pPr>
              <w:pStyle w:val="TableParagraph"/>
              <w:spacing w:before="64"/>
              <w:rPr>
                <w:sz w:val="20"/>
              </w:rPr>
            </w:pPr>
            <w:r>
              <w:rPr>
                <w:w w:val="112"/>
                <w:sz w:val="20"/>
              </w:rPr>
              <w:t>3</w:t>
            </w:r>
          </w:p>
        </w:tc>
      </w:tr>
      <w:tr>
        <w:trPr>
          <w:trHeight w:val="363" w:hRule="atLeast"/>
        </w:trPr>
        <w:tc>
          <w:tcPr>
            <w:tcW w:w="4898" w:type="dxa"/>
          </w:tcPr>
          <w:p>
            <w:pPr>
              <w:pStyle w:val="TableParagraph"/>
              <w:spacing w:before="64"/>
              <w:ind w:left="216"/>
              <w:rPr>
                <w:sz w:val="20"/>
              </w:rPr>
            </w:pPr>
            <w:r>
              <w:rPr>
                <w:w w:val="110"/>
                <w:sz w:val="20"/>
              </w:rPr>
              <w:t>b) intre 151 si 250 m.p., inclusiv</w:t>
            </w:r>
          </w:p>
        </w:tc>
        <w:tc>
          <w:tcPr>
            <w:tcW w:w="4883" w:type="dxa"/>
          </w:tcPr>
          <w:p>
            <w:pPr>
              <w:pStyle w:val="TableParagraph"/>
              <w:spacing w:before="64"/>
              <w:rPr>
                <w:sz w:val="20"/>
              </w:rPr>
            </w:pPr>
            <w:r>
              <w:rPr>
                <w:w w:val="112"/>
                <w:sz w:val="20"/>
              </w:rPr>
              <w:t>4</w:t>
            </w:r>
          </w:p>
        </w:tc>
      </w:tr>
      <w:tr>
        <w:trPr>
          <w:trHeight w:val="363" w:hRule="atLeast"/>
        </w:trPr>
        <w:tc>
          <w:tcPr>
            <w:tcW w:w="4898" w:type="dxa"/>
          </w:tcPr>
          <w:p>
            <w:pPr>
              <w:pStyle w:val="TableParagraph"/>
              <w:spacing w:before="64"/>
              <w:ind w:left="268"/>
              <w:rPr>
                <w:sz w:val="20"/>
              </w:rPr>
            </w:pPr>
            <w:r>
              <w:rPr>
                <w:w w:val="110"/>
                <w:sz w:val="20"/>
              </w:rPr>
              <w:t>c) intre 251 m.p. si 500 m.p.,inclusiv</w:t>
            </w:r>
          </w:p>
        </w:tc>
        <w:tc>
          <w:tcPr>
            <w:tcW w:w="4883" w:type="dxa"/>
          </w:tcPr>
          <w:p>
            <w:pPr>
              <w:pStyle w:val="TableParagraph"/>
              <w:spacing w:before="64"/>
              <w:rPr>
                <w:sz w:val="20"/>
              </w:rPr>
            </w:pPr>
            <w:r>
              <w:rPr>
                <w:w w:val="112"/>
                <w:sz w:val="20"/>
              </w:rPr>
              <w:t>5</w:t>
            </w:r>
          </w:p>
        </w:tc>
      </w:tr>
      <w:tr>
        <w:trPr>
          <w:trHeight w:val="363" w:hRule="atLeast"/>
        </w:trPr>
        <w:tc>
          <w:tcPr>
            <w:tcW w:w="4898" w:type="dxa"/>
          </w:tcPr>
          <w:p>
            <w:pPr>
              <w:pStyle w:val="TableParagraph"/>
              <w:spacing w:before="64"/>
              <w:ind w:left="216"/>
              <w:rPr>
                <w:sz w:val="20"/>
              </w:rPr>
            </w:pPr>
            <w:r>
              <w:rPr>
                <w:w w:val="110"/>
                <w:sz w:val="20"/>
              </w:rPr>
              <w:t>d) intre 501 si 750 m.p.,inclusiv</w:t>
            </w:r>
          </w:p>
        </w:tc>
        <w:tc>
          <w:tcPr>
            <w:tcW w:w="4883" w:type="dxa"/>
          </w:tcPr>
          <w:p>
            <w:pPr>
              <w:pStyle w:val="TableParagraph"/>
              <w:spacing w:before="64"/>
              <w:rPr>
                <w:sz w:val="20"/>
              </w:rPr>
            </w:pPr>
            <w:r>
              <w:rPr>
                <w:w w:val="112"/>
                <w:sz w:val="20"/>
              </w:rPr>
              <w:t>6</w:t>
            </w:r>
          </w:p>
        </w:tc>
      </w:tr>
      <w:tr>
        <w:trPr>
          <w:trHeight w:val="363" w:hRule="atLeast"/>
        </w:trPr>
        <w:tc>
          <w:tcPr>
            <w:tcW w:w="4898" w:type="dxa"/>
          </w:tcPr>
          <w:p>
            <w:pPr>
              <w:pStyle w:val="TableParagraph"/>
              <w:spacing w:before="64"/>
              <w:ind w:left="216"/>
              <w:rPr>
                <w:sz w:val="20"/>
              </w:rPr>
            </w:pPr>
            <w:r>
              <w:rPr>
                <w:w w:val="110"/>
                <w:sz w:val="20"/>
              </w:rPr>
              <w:t>e) intre 751 si 1000 m.p.,inclusiv</w:t>
            </w:r>
          </w:p>
        </w:tc>
        <w:tc>
          <w:tcPr>
            <w:tcW w:w="4883" w:type="dxa"/>
          </w:tcPr>
          <w:p>
            <w:pPr>
              <w:pStyle w:val="TableParagraph"/>
              <w:spacing w:before="64"/>
              <w:rPr>
                <w:sz w:val="20"/>
              </w:rPr>
            </w:pPr>
            <w:r>
              <w:rPr>
                <w:w w:val="112"/>
                <w:sz w:val="20"/>
              </w:rPr>
              <w:t>9</w:t>
            </w:r>
          </w:p>
        </w:tc>
      </w:tr>
      <w:tr>
        <w:trPr>
          <w:trHeight w:val="640" w:hRule="atLeast"/>
        </w:trPr>
        <w:tc>
          <w:tcPr>
            <w:tcW w:w="4898" w:type="dxa"/>
          </w:tcPr>
          <w:p>
            <w:pPr>
              <w:pStyle w:val="TableParagraph"/>
              <w:tabs>
                <w:tab w:pos="601" w:val="left" w:leader="none"/>
              </w:tabs>
              <w:spacing w:before="64"/>
              <w:ind w:left="216"/>
              <w:rPr>
                <w:sz w:val="20"/>
              </w:rPr>
            </w:pPr>
            <w:r>
              <w:rPr>
                <w:w w:val="110"/>
                <w:sz w:val="20"/>
              </w:rPr>
              <w:t>f)</w:t>
              <w:tab/>
              <w:t>peste 1000</w:t>
            </w:r>
            <w:r>
              <w:rPr>
                <w:spacing w:val="4"/>
                <w:w w:val="110"/>
                <w:sz w:val="20"/>
              </w:rPr>
              <w:t> </w:t>
            </w:r>
            <w:r>
              <w:rPr>
                <w:w w:val="110"/>
                <w:sz w:val="20"/>
              </w:rPr>
              <w:t>m.p.</w:t>
            </w:r>
          </w:p>
        </w:tc>
        <w:tc>
          <w:tcPr>
            <w:tcW w:w="4883" w:type="dxa"/>
          </w:tcPr>
          <w:p>
            <w:pPr>
              <w:pStyle w:val="TableParagraph"/>
              <w:spacing w:line="271" w:lineRule="auto" w:before="64"/>
              <w:rPr>
                <w:sz w:val="20"/>
              </w:rPr>
            </w:pPr>
            <w:r>
              <w:rPr>
                <w:w w:val="110"/>
                <w:sz w:val="20"/>
              </w:rPr>
              <w:t>9+0,01 lei/m.p.,pentru fiecare m.p.care depaseste 1000m.p.</w:t>
            </w:r>
          </w:p>
        </w:tc>
      </w:tr>
    </w:tbl>
    <w:p>
      <w:pPr>
        <w:pStyle w:val="BodyText"/>
        <w:spacing w:before="8"/>
        <w:ind w:left="0"/>
        <w:jc w:val="left"/>
        <w:rPr>
          <w:sz w:val="6"/>
        </w:rPr>
      </w:pPr>
    </w:p>
    <w:p>
      <w:pPr>
        <w:pStyle w:val="ListParagraph"/>
        <w:numPr>
          <w:ilvl w:val="2"/>
          <w:numId w:val="18"/>
        </w:numPr>
        <w:tabs>
          <w:tab w:pos="419" w:val="left" w:leader="none"/>
        </w:tabs>
        <w:spacing w:line="271" w:lineRule="auto" w:before="123" w:after="0"/>
        <w:ind w:left="108" w:right="115" w:firstLine="67"/>
        <w:jc w:val="both"/>
        <w:rPr>
          <w:sz w:val="20"/>
        </w:rPr>
      </w:pPr>
      <w:r>
        <w:rPr>
          <w:w w:val="115"/>
          <w:sz w:val="20"/>
        </w:rPr>
        <w:t>Taxa pentru prelungirea unui certificat de urbanism este egală cu 30% din cuantumul taxei pentru eliberarea certificatului sau a autorizaţiei</w:t>
      </w:r>
      <w:r>
        <w:rPr>
          <w:spacing w:val="-8"/>
          <w:w w:val="115"/>
          <w:sz w:val="20"/>
        </w:rPr>
        <w:t> </w:t>
      </w:r>
      <w:r>
        <w:rPr>
          <w:w w:val="115"/>
          <w:sz w:val="20"/>
        </w:rPr>
        <w:t>iniţiale.</w:t>
      </w:r>
    </w:p>
    <w:p>
      <w:pPr>
        <w:pStyle w:val="ListParagraph"/>
        <w:numPr>
          <w:ilvl w:val="2"/>
          <w:numId w:val="18"/>
        </w:numPr>
        <w:tabs>
          <w:tab w:pos="609" w:val="left" w:leader="none"/>
        </w:tabs>
        <w:spacing w:line="271" w:lineRule="auto" w:before="109" w:after="0"/>
        <w:ind w:left="108" w:right="109" w:firstLine="226"/>
        <w:jc w:val="both"/>
        <w:rPr>
          <w:sz w:val="20"/>
        </w:rPr>
      </w:pPr>
      <w:r>
        <w:rPr>
          <w:w w:val="115"/>
          <w:sz w:val="20"/>
        </w:rPr>
        <w:t>Taxa pentru avizarea certificatului de urbanism de către comisia de urbanism şi amenajarea teritoriului, de către primari sau de structurile de specialitate din cadrul consiliului judeţean este de 16 lei.</w:t>
      </w:r>
    </w:p>
    <w:p>
      <w:pPr>
        <w:pStyle w:val="ListParagraph"/>
        <w:numPr>
          <w:ilvl w:val="2"/>
          <w:numId w:val="18"/>
        </w:numPr>
        <w:tabs>
          <w:tab w:pos="472" w:val="left" w:leader="none"/>
        </w:tabs>
        <w:spacing w:line="271" w:lineRule="auto" w:before="109" w:after="0"/>
        <w:ind w:left="108" w:right="110" w:firstLine="92"/>
        <w:jc w:val="both"/>
        <w:rPr>
          <w:sz w:val="20"/>
        </w:rPr>
      </w:pPr>
      <w:r>
        <w:rPr>
          <w:w w:val="115"/>
          <w:sz w:val="20"/>
        </w:rPr>
        <w:t>Taxa pentru formular pentru eliberarea certificatului de urbanism pentru lucrări de racorduri si branşamente la reţelele publice de apă, canalizare, gaze termice,energie electrică,telefonie si televiziune prin cablu,este de 5</w:t>
      </w:r>
      <w:r>
        <w:rPr>
          <w:spacing w:val="-5"/>
          <w:w w:val="115"/>
          <w:sz w:val="20"/>
        </w:rPr>
        <w:t> </w:t>
      </w:r>
      <w:r>
        <w:rPr>
          <w:w w:val="115"/>
          <w:sz w:val="20"/>
        </w:rPr>
        <w:t>lei.</w:t>
      </w:r>
    </w:p>
    <w:p>
      <w:pPr>
        <w:pStyle w:val="ListParagraph"/>
        <w:numPr>
          <w:ilvl w:val="2"/>
          <w:numId w:val="18"/>
        </w:numPr>
        <w:tabs>
          <w:tab w:pos="347" w:val="left" w:leader="none"/>
        </w:tabs>
        <w:spacing w:line="271" w:lineRule="auto" w:before="109" w:after="0"/>
        <w:ind w:left="108" w:right="113" w:firstLine="0"/>
        <w:jc w:val="both"/>
        <w:rPr>
          <w:sz w:val="20"/>
        </w:rPr>
      </w:pPr>
      <w:r>
        <w:rPr>
          <w:w w:val="115"/>
          <w:sz w:val="20"/>
        </w:rPr>
        <w:t>Taxa pentru eliberarea unei autorizaţii de construire pentru o clădire rezidenţială sau clădire - anexă este egală cu 0,5% din valoarea autorizată a lucrărilor de</w:t>
      </w:r>
      <w:r>
        <w:rPr>
          <w:spacing w:val="-19"/>
          <w:w w:val="115"/>
          <w:sz w:val="20"/>
        </w:rPr>
        <w:t> </w:t>
      </w:r>
      <w:r>
        <w:rPr>
          <w:w w:val="115"/>
          <w:sz w:val="20"/>
        </w:rPr>
        <w:t>construcţii.</w:t>
      </w:r>
    </w:p>
    <w:p>
      <w:pPr>
        <w:pStyle w:val="ListParagraph"/>
        <w:numPr>
          <w:ilvl w:val="2"/>
          <w:numId w:val="18"/>
        </w:numPr>
        <w:tabs>
          <w:tab w:pos="429" w:val="left" w:leader="none"/>
        </w:tabs>
        <w:spacing w:line="240" w:lineRule="auto" w:before="1" w:after="0"/>
        <w:ind w:left="428" w:right="0" w:hanging="217"/>
        <w:jc w:val="left"/>
        <w:rPr>
          <w:sz w:val="20"/>
        </w:rPr>
      </w:pPr>
      <w:r>
        <w:rPr>
          <w:w w:val="115"/>
          <w:sz w:val="20"/>
        </w:rPr>
        <w:t>Taxa pentru eliberarea autorizaţiei de construire pentru alte construcţii decât cele menţionate la</w:t>
      </w:r>
      <w:r>
        <w:rPr>
          <w:spacing w:val="-21"/>
          <w:w w:val="115"/>
          <w:sz w:val="20"/>
        </w:rPr>
        <w:t> </w:t>
      </w:r>
      <w:r>
        <w:rPr>
          <w:w w:val="115"/>
          <w:sz w:val="20"/>
        </w:rPr>
        <w:t>alin.</w:t>
      </w:r>
    </w:p>
    <w:p>
      <w:pPr>
        <w:pStyle w:val="BodyText"/>
        <w:spacing w:line="271" w:lineRule="auto" w:before="32"/>
        <w:ind w:left="107" w:right="117"/>
      </w:pPr>
      <w:r>
        <w:rPr>
          <w:w w:val="115"/>
        </w:rPr>
        <w:t>(5) este egală cu 1% din valoarea autorizată a lucrărilor de construcţie, inclusiv valoarea instalaţiilor aferente.</w:t>
      </w:r>
    </w:p>
    <w:p>
      <w:pPr>
        <w:pStyle w:val="ListParagraph"/>
        <w:numPr>
          <w:ilvl w:val="2"/>
          <w:numId w:val="18"/>
        </w:numPr>
        <w:tabs>
          <w:tab w:pos="450" w:val="left" w:leader="none"/>
        </w:tabs>
        <w:spacing w:line="271" w:lineRule="auto" w:before="108" w:after="0"/>
        <w:ind w:left="108" w:right="114" w:firstLine="119"/>
        <w:jc w:val="both"/>
        <w:rPr>
          <w:sz w:val="20"/>
        </w:rPr>
      </w:pPr>
      <w:r>
        <w:rPr>
          <w:w w:val="115"/>
          <w:sz w:val="20"/>
        </w:rPr>
        <w:t>Pentru taxele prevăzute la alin. (5) şi (6) stabilite pe baza valorii autorizate a lucrărilor de construcţie se aplică următoarele</w:t>
      </w:r>
      <w:r>
        <w:rPr>
          <w:spacing w:val="-4"/>
          <w:w w:val="115"/>
          <w:sz w:val="20"/>
        </w:rPr>
        <w:t> </w:t>
      </w:r>
      <w:r>
        <w:rPr>
          <w:w w:val="115"/>
          <w:sz w:val="20"/>
        </w:rPr>
        <w:t>reguli:</w:t>
      </w:r>
    </w:p>
    <w:p>
      <w:pPr>
        <w:pStyle w:val="ListParagraph"/>
        <w:numPr>
          <w:ilvl w:val="0"/>
          <w:numId w:val="23"/>
        </w:numPr>
        <w:tabs>
          <w:tab w:pos="399" w:val="left" w:leader="none"/>
        </w:tabs>
        <w:spacing w:line="271" w:lineRule="auto" w:before="109" w:after="0"/>
        <w:ind w:left="108" w:right="119" w:firstLine="46"/>
        <w:jc w:val="both"/>
        <w:rPr>
          <w:sz w:val="20"/>
        </w:rPr>
      </w:pPr>
      <w:r>
        <w:rPr>
          <w:w w:val="115"/>
          <w:sz w:val="20"/>
        </w:rPr>
        <w:t>taxa datorată se stabileşte pe baza valorii lucrărilor de construcţie declarate de persoana care solicită autorizaţia şi se plăteşte înainte de emiterea</w:t>
      </w:r>
      <w:r>
        <w:rPr>
          <w:spacing w:val="-11"/>
          <w:w w:val="115"/>
          <w:sz w:val="20"/>
        </w:rPr>
        <w:t> </w:t>
      </w:r>
      <w:r>
        <w:rPr>
          <w:w w:val="115"/>
          <w:sz w:val="20"/>
        </w:rPr>
        <w:t>acesteia</w:t>
      </w:r>
    </w:p>
    <w:p>
      <w:pPr>
        <w:pStyle w:val="ListParagraph"/>
        <w:numPr>
          <w:ilvl w:val="0"/>
          <w:numId w:val="23"/>
        </w:numPr>
        <w:tabs>
          <w:tab w:pos="400" w:val="left" w:leader="none"/>
        </w:tabs>
        <w:spacing w:line="271" w:lineRule="auto" w:before="108" w:after="0"/>
        <w:ind w:left="108" w:right="110" w:firstLine="46"/>
        <w:jc w:val="both"/>
        <w:rPr>
          <w:sz w:val="20"/>
        </w:rPr>
      </w:pPr>
      <w:r>
        <w:rPr>
          <w:w w:val="115"/>
          <w:sz w:val="20"/>
        </w:rPr>
        <w:t>pentru taxa prevăzută la alin. (6), valoarea reală a lucrărilor de construcţie nu poate fi mai mică decât valoarea impozabilă a clădirii stabilită conform</w:t>
      </w:r>
      <w:r>
        <w:rPr>
          <w:color w:val="3DA7F6"/>
          <w:w w:val="115"/>
          <w:sz w:val="20"/>
        </w:rPr>
        <w:t> </w:t>
      </w:r>
      <w:r>
        <w:rPr>
          <w:color w:val="3DA7F6"/>
          <w:w w:val="115"/>
          <w:sz w:val="20"/>
          <w:u w:val="single" w:color="3DA7F6"/>
        </w:rPr>
        <w:t>art. 457</w:t>
      </w:r>
      <w:r>
        <w:rPr>
          <w:w w:val="115"/>
          <w:sz w:val="20"/>
        </w:rPr>
        <w:t>,din Legea</w:t>
      </w:r>
      <w:r>
        <w:rPr>
          <w:spacing w:val="-34"/>
          <w:w w:val="115"/>
          <w:sz w:val="20"/>
        </w:rPr>
        <w:t> </w:t>
      </w:r>
      <w:r>
        <w:rPr>
          <w:w w:val="115"/>
          <w:sz w:val="20"/>
        </w:rPr>
        <w:t>nr.227/2015.</w:t>
      </w:r>
    </w:p>
    <w:p>
      <w:pPr>
        <w:pStyle w:val="ListParagraph"/>
        <w:numPr>
          <w:ilvl w:val="0"/>
          <w:numId w:val="23"/>
        </w:numPr>
        <w:tabs>
          <w:tab w:pos="412" w:val="left" w:leader="none"/>
        </w:tabs>
        <w:spacing w:line="271" w:lineRule="auto" w:before="109" w:after="0"/>
        <w:ind w:left="108" w:right="107" w:firstLine="67"/>
        <w:jc w:val="both"/>
        <w:rPr>
          <w:sz w:val="20"/>
        </w:rPr>
      </w:pPr>
      <w:r>
        <w:rPr>
          <w:w w:val="115"/>
          <w:sz w:val="20"/>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w:t>
      </w:r>
      <w:r>
        <w:rPr>
          <w:spacing w:val="-3"/>
          <w:w w:val="115"/>
          <w:sz w:val="20"/>
        </w:rPr>
        <w:t> </w:t>
      </w:r>
      <w:r>
        <w:rPr>
          <w:w w:val="115"/>
          <w:sz w:val="20"/>
        </w:rPr>
        <w:t>locale;</w:t>
      </w:r>
    </w:p>
    <w:p>
      <w:pPr>
        <w:pStyle w:val="ListParagraph"/>
        <w:numPr>
          <w:ilvl w:val="0"/>
          <w:numId w:val="23"/>
        </w:numPr>
        <w:tabs>
          <w:tab w:pos="479" w:val="left" w:leader="none"/>
        </w:tabs>
        <w:spacing w:line="271" w:lineRule="auto" w:before="2" w:after="0"/>
        <w:ind w:left="108" w:right="117" w:firstLine="82"/>
        <w:jc w:val="both"/>
        <w:rPr>
          <w:sz w:val="20"/>
        </w:rPr>
      </w:pPr>
      <w:r>
        <w:rPr>
          <w:w w:val="115"/>
          <w:sz w:val="20"/>
        </w:rPr>
        <w:t>până în cea de-a 15 - a zi, inclusiv, de la data la care se depune situaţia finală privind valoarea lucrărilor de construcţii, compartimentul de specialitate al autorităţii administraţiei publice locale are obligaţia de a stabili taxa datorată pe baza valorii reale a lucrărilor de</w:t>
      </w:r>
      <w:r>
        <w:rPr>
          <w:spacing w:val="-32"/>
          <w:w w:val="115"/>
          <w:sz w:val="20"/>
        </w:rPr>
        <w:t> </w:t>
      </w:r>
      <w:r>
        <w:rPr>
          <w:w w:val="115"/>
          <w:sz w:val="20"/>
        </w:rPr>
        <w:t>construcţie;</w:t>
      </w:r>
    </w:p>
    <w:p>
      <w:pPr>
        <w:pStyle w:val="ListParagraph"/>
        <w:numPr>
          <w:ilvl w:val="0"/>
          <w:numId w:val="23"/>
        </w:numPr>
        <w:tabs>
          <w:tab w:pos="381" w:val="left" w:leader="none"/>
        </w:tabs>
        <w:spacing w:line="271" w:lineRule="auto" w:before="109" w:after="0"/>
        <w:ind w:left="108" w:right="108" w:firstLine="0"/>
        <w:jc w:val="both"/>
        <w:rPr>
          <w:sz w:val="20"/>
        </w:rPr>
      </w:pPr>
      <w:r>
        <w:rPr>
          <w:w w:val="115"/>
          <w:sz w:val="20"/>
        </w:rPr>
        <w:t>până în cea de-a 15 - 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w:t>
      </w:r>
      <w:r>
        <w:rPr>
          <w:spacing w:val="-8"/>
          <w:w w:val="115"/>
          <w:sz w:val="20"/>
        </w:rPr>
        <w:t> </w:t>
      </w:r>
      <w:r>
        <w:rPr>
          <w:w w:val="115"/>
          <w:sz w:val="20"/>
        </w:rPr>
        <w:t>locale.</w:t>
      </w:r>
    </w:p>
    <w:p>
      <w:pPr>
        <w:pStyle w:val="ListParagraph"/>
        <w:numPr>
          <w:ilvl w:val="2"/>
          <w:numId w:val="18"/>
        </w:numPr>
        <w:tabs>
          <w:tab w:pos="350" w:val="left" w:leader="none"/>
        </w:tabs>
        <w:spacing w:line="271" w:lineRule="auto" w:before="109" w:after="0"/>
        <w:ind w:left="108" w:right="120" w:firstLine="0"/>
        <w:jc w:val="both"/>
        <w:rPr>
          <w:sz w:val="20"/>
        </w:rPr>
      </w:pPr>
      <w:r>
        <w:rPr>
          <w:w w:val="115"/>
          <w:sz w:val="20"/>
        </w:rPr>
        <w:t>Taxa pentru prelungirea unei autorizaţii de construire este egală cu 30% din cuantumul taxei pentru eliberarea certificatului sau a autorizaţiei</w:t>
      </w:r>
      <w:r>
        <w:rPr>
          <w:spacing w:val="-8"/>
          <w:w w:val="115"/>
          <w:sz w:val="20"/>
        </w:rPr>
        <w:t> </w:t>
      </w:r>
      <w:r>
        <w:rPr>
          <w:w w:val="115"/>
          <w:sz w:val="20"/>
        </w:rPr>
        <w:t>iniţiale.</w:t>
      </w:r>
    </w:p>
    <w:p>
      <w:pPr>
        <w:pStyle w:val="ListParagraph"/>
        <w:numPr>
          <w:ilvl w:val="2"/>
          <w:numId w:val="18"/>
        </w:numPr>
        <w:tabs>
          <w:tab w:pos="349" w:val="left" w:leader="none"/>
        </w:tabs>
        <w:spacing w:line="271" w:lineRule="auto" w:before="1" w:after="0"/>
        <w:ind w:left="108" w:right="121" w:firstLine="0"/>
        <w:jc w:val="both"/>
        <w:rPr>
          <w:sz w:val="20"/>
        </w:rPr>
      </w:pPr>
      <w:r>
        <w:rPr>
          <w:w w:val="115"/>
          <w:sz w:val="20"/>
        </w:rPr>
        <w:t>Taxa pentru eliberarea autorizaţiei de desfiinţare, totală sau parţială, a unei construcţii este egală cu 0,1% din valoarea impozabilă stabilită pentru determinarea impozitului pe clădiri, aferentă părţii desfiinţate.</w:t>
      </w:r>
    </w:p>
    <w:p>
      <w:pPr>
        <w:pStyle w:val="ListParagraph"/>
        <w:numPr>
          <w:ilvl w:val="2"/>
          <w:numId w:val="18"/>
        </w:numPr>
        <w:tabs>
          <w:tab w:pos="512" w:val="left" w:leader="none"/>
        </w:tabs>
        <w:spacing w:line="271" w:lineRule="auto" w:before="109" w:after="0"/>
        <w:ind w:left="108" w:right="108" w:firstLine="0"/>
        <w:jc w:val="both"/>
        <w:rPr>
          <w:sz w:val="20"/>
        </w:rPr>
      </w:pPr>
      <w:r>
        <w:rPr>
          <w:w w:val="115"/>
          <w:sz w:val="20"/>
        </w:rPr>
        <w:t>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o valoare 11</w:t>
      </w:r>
      <w:r>
        <w:rPr>
          <w:spacing w:val="-33"/>
          <w:w w:val="115"/>
          <w:sz w:val="20"/>
        </w:rPr>
        <w:t> </w:t>
      </w:r>
      <w:r>
        <w:rPr>
          <w:w w:val="115"/>
          <w:sz w:val="20"/>
        </w:rPr>
        <w:t>lei.</w:t>
      </w:r>
    </w:p>
    <w:p>
      <w:pPr>
        <w:pStyle w:val="ListParagraph"/>
        <w:numPr>
          <w:ilvl w:val="2"/>
          <w:numId w:val="18"/>
        </w:numPr>
        <w:tabs>
          <w:tab w:pos="501" w:val="left" w:leader="none"/>
        </w:tabs>
        <w:spacing w:line="240" w:lineRule="auto" w:before="110" w:after="0"/>
        <w:ind w:left="500" w:right="0" w:hanging="341"/>
        <w:jc w:val="both"/>
        <w:rPr>
          <w:sz w:val="20"/>
        </w:rPr>
      </w:pPr>
      <w:r>
        <w:rPr>
          <w:w w:val="115"/>
          <w:sz w:val="20"/>
        </w:rPr>
        <w:t>În</w:t>
      </w:r>
      <w:r>
        <w:rPr>
          <w:spacing w:val="-4"/>
          <w:w w:val="115"/>
          <w:sz w:val="20"/>
        </w:rPr>
        <w:t> </w:t>
      </w:r>
      <w:r>
        <w:rPr>
          <w:w w:val="115"/>
          <w:sz w:val="20"/>
        </w:rPr>
        <w:t>termen</w:t>
      </w:r>
      <w:r>
        <w:rPr>
          <w:spacing w:val="-4"/>
          <w:w w:val="115"/>
          <w:sz w:val="20"/>
        </w:rPr>
        <w:t> </w:t>
      </w:r>
      <w:r>
        <w:rPr>
          <w:w w:val="115"/>
          <w:sz w:val="20"/>
        </w:rPr>
        <w:t>de</w:t>
      </w:r>
      <w:r>
        <w:rPr>
          <w:spacing w:val="-3"/>
          <w:w w:val="115"/>
          <w:sz w:val="20"/>
        </w:rPr>
        <w:t> </w:t>
      </w:r>
      <w:r>
        <w:rPr>
          <w:w w:val="115"/>
          <w:sz w:val="20"/>
        </w:rPr>
        <w:t>30</w:t>
      </w:r>
      <w:r>
        <w:rPr>
          <w:spacing w:val="-4"/>
          <w:w w:val="115"/>
          <w:sz w:val="20"/>
        </w:rPr>
        <w:t> </w:t>
      </w:r>
      <w:r>
        <w:rPr>
          <w:w w:val="115"/>
          <w:sz w:val="20"/>
        </w:rPr>
        <w:t>de</w:t>
      </w:r>
      <w:r>
        <w:rPr>
          <w:spacing w:val="-4"/>
          <w:w w:val="115"/>
          <w:sz w:val="20"/>
        </w:rPr>
        <w:t> </w:t>
      </w:r>
      <w:r>
        <w:rPr>
          <w:w w:val="115"/>
          <w:sz w:val="20"/>
        </w:rPr>
        <w:t>zile</w:t>
      </w:r>
      <w:r>
        <w:rPr>
          <w:spacing w:val="-3"/>
          <w:w w:val="115"/>
          <w:sz w:val="20"/>
        </w:rPr>
        <w:t> </w:t>
      </w:r>
      <w:r>
        <w:rPr>
          <w:w w:val="115"/>
          <w:sz w:val="20"/>
        </w:rPr>
        <w:t>de</w:t>
      </w:r>
      <w:r>
        <w:rPr>
          <w:spacing w:val="-4"/>
          <w:w w:val="115"/>
          <w:sz w:val="20"/>
        </w:rPr>
        <w:t> </w:t>
      </w:r>
      <w:r>
        <w:rPr>
          <w:w w:val="115"/>
          <w:sz w:val="20"/>
        </w:rPr>
        <w:t>la</w:t>
      </w:r>
      <w:r>
        <w:rPr>
          <w:spacing w:val="-4"/>
          <w:w w:val="115"/>
          <w:sz w:val="20"/>
        </w:rPr>
        <w:t> </w:t>
      </w:r>
      <w:r>
        <w:rPr>
          <w:w w:val="115"/>
          <w:sz w:val="20"/>
        </w:rPr>
        <w:t>finalizarea</w:t>
      </w:r>
      <w:r>
        <w:rPr>
          <w:spacing w:val="-3"/>
          <w:w w:val="115"/>
          <w:sz w:val="20"/>
        </w:rPr>
        <w:t> </w:t>
      </w:r>
      <w:r>
        <w:rPr>
          <w:w w:val="115"/>
          <w:sz w:val="20"/>
        </w:rPr>
        <w:t>fazelor</w:t>
      </w:r>
      <w:r>
        <w:rPr>
          <w:spacing w:val="-4"/>
          <w:w w:val="115"/>
          <w:sz w:val="20"/>
        </w:rPr>
        <w:t> </w:t>
      </w:r>
      <w:r>
        <w:rPr>
          <w:w w:val="115"/>
          <w:sz w:val="20"/>
        </w:rPr>
        <w:t>de</w:t>
      </w:r>
      <w:r>
        <w:rPr>
          <w:spacing w:val="-4"/>
          <w:w w:val="115"/>
          <w:sz w:val="20"/>
        </w:rPr>
        <w:t> </w:t>
      </w:r>
      <w:r>
        <w:rPr>
          <w:w w:val="115"/>
          <w:sz w:val="20"/>
        </w:rPr>
        <w:t>cercetare</w:t>
      </w:r>
      <w:r>
        <w:rPr>
          <w:spacing w:val="-3"/>
          <w:w w:val="115"/>
          <w:sz w:val="20"/>
        </w:rPr>
        <w:t> </w:t>
      </w:r>
      <w:r>
        <w:rPr>
          <w:w w:val="115"/>
          <w:sz w:val="20"/>
        </w:rPr>
        <w:t>şi</w:t>
      </w:r>
      <w:r>
        <w:rPr>
          <w:spacing w:val="-4"/>
          <w:w w:val="115"/>
          <w:sz w:val="20"/>
        </w:rPr>
        <w:t> </w:t>
      </w:r>
      <w:r>
        <w:rPr>
          <w:w w:val="115"/>
          <w:sz w:val="20"/>
        </w:rPr>
        <w:t>prospectare,</w:t>
      </w:r>
      <w:r>
        <w:rPr>
          <w:spacing w:val="-4"/>
          <w:w w:val="115"/>
          <w:sz w:val="20"/>
        </w:rPr>
        <w:t> </w:t>
      </w:r>
      <w:r>
        <w:rPr>
          <w:w w:val="115"/>
          <w:sz w:val="20"/>
        </w:rPr>
        <w:t>contribuabilii</w:t>
      </w:r>
      <w:r>
        <w:rPr>
          <w:spacing w:val="-3"/>
          <w:w w:val="115"/>
          <w:sz w:val="20"/>
        </w:rPr>
        <w:t> </w:t>
      </w:r>
      <w:r>
        <w:rPr>
          <w:w w:val="115"/>
          <w:sz w:val="20"/>
        </w:rPr>
        <w:t>au</w:t>
      </w:r>
      <w:r>
        <w:rPr>
          <w:spacing w:val="-4"/>
          <w:w w:val="115"/>
          <w:sz w:val="20"/>
        </w:rPr>
        <w:t> </w:t>
      </w:r>
      <w:r>
        <w:rPr>
          <w:w w:val="115"/>
          <w:sz w:val="20"/>
        </w:rPr>
        <w:t>obligaţia</w:t>
      </w:r>
    </w:p>
    <w:p>
      <w:pPr>
        <w:spacing w:after="0" w:line="240" w:lineRule="auto"/>
        <w:jc w:val="both"/>
        <w:rPr>
          <w:sz w:val="20"/>
        </w:rPr>
        <w:sectPr>
          <w:pgSz w:w="11900" w:h="16840"/>
          <w:pgMar w:header="0" w:footer="280" w:top="580" w:bottom="560" w:left="1140" w:right="740"/>
        </w:sectPr>
      </w:pPr>
    </w:p>
    <w:p>
      <w:pPr>
        <w:pStyle w:val="BodyText"/>
        <w:spacing w:line="271" w:lineRule="auto" w:before="100"/>
        <w:ind w:left="107" w:right="107"/>
      </w:pPr>
      <w:r>
        <w:rPr>
          <w:w w:val="115"/>
        </w:rPr>
        <w:t>să declare suprafaţa efectiv afectată de foraje sau excavări, iar în cazul în care aceasta diferă de cea pentru care a fost emisă anterior o autorizaţie, taxa aferentă se regularizează astfel încât să reflecte suprafaţa efectiv afectată.</w:t>
      </w:r>
    </w:p>
    <w:p>
      <w:pPr>
        <w:pStyle w:val="ListParagraph"/>
        <w:numPr>
          <w:ilvl w:val="2"/>
          <w:numId w:val="18"/>
        </w:numPr>
        <w:tabs>
          <w:tab w:pos="606" w:val="left" w:leader="none"/>
        </w:tabs>
        <w:spacing w:line="271" w:lineRule="auto" w:before="2" w:after="0"/>
        <w:ind w:left="108" w:right="113" w:firstLine="149"/>
        <w:jc w:val="both"/>
        <w:rPr>
          <w:sz w:val="20"/>
        </w:rPr>
      </w:pPr>
      <w:r>
        <w:rPr>
          <w:w w:val="115"/>
          <w:sz w:val="20"/>
        </w:rPr>
        <w:t>Taxa pentru eliberarea autorizaţiei necesare pentru lucrările de organizare de şantier în vederea realizării unei construcţii, care nu sunt incluse în altă autorizaţie de construire, este egală cu 3% din valoarea autorizată a lucrărilor de organizare de</w:t>
      </w:r>
      <w:r>
        <w:rPr>
          <w:spacing w:val="-9"/>
          <w:w w:val="115"/>
          <w:sz w:val="20"/>
        </w:rPr>
        <w:t> </w:t>
      </w:r>
      <w:r>
        <w:rPr>
          <w:w w:val="115"/>
          <w:sz w:val="20"/>
        </w:rPr>
        <w:t>şantier.</w:t>
      </w:r>
    </w:p>
    <w:p>
      <w:pPr>
        <w:pStyle w:val="ListParagraph"/>
        <w:numPr>
          <w:ilvl w:val="2"/>
          <w:numId w:val="18"/>
        </w:numPr>
        <w:tabs>
          <w:tab w:pos="701" w:val="left" w:leader="none"/>
        </w:tabs>
        <w:spacing w:line="271" w:lineRule="auto" w:before="1" w:after="0"/>
        <w:ind w:left="108" w:right="107" w:firstLine="211"/>
        <w:jc w:val="both"/>
        <w:rPr>
          <w:sz w:val="20"/>
        </w:rPr>
      </w:pPr>
      <w:r>
        <w:rPr>
          <w:w w:val="115"/>
          <w:sz w:val="20"/>
        </w:rPr>
        <w:t>Taxa pentru eliberarea autorizaţiei de amenajare de tabere de corturi, căsuţe sau rulote ori campinguri este egală cu 2% din valoarea autorizată a lucrărilor de</w:t>
      </w:r>
      <w:r>
        <w:rPr>
          <w:spacing w:val="-24"/>
          <w:w w:val="115"/>
          <w:sz w:val="20"/>
        </w:rPr>
        <w:t> </w:t>
      </w:r>
      <w:r>
        <w:rPr>
          <w:w w:val="115"/>
          <w:sz w:val="20"/>
        </w:rPr>
        <w:t>construcţie.</w:t>
      </w:r>
    </w:p>
    <w:p>
      <w:pPr>
        <w:pStyle w:val="ListParagraph"/>
        <w:numPr>
          <w:ilvl w:val="2"/>
          <w:numId w:val="18"/>
        </w:numPr>
        <w:tabs>
          <w:tab w:pos="566" w:val="left" w:leader="none"/>
        </w:tabs>
        <w:spacing w:line="271" w:lineRule="auto" w:before="1" w:after="0"/>
        <w:ind w:left="108" w:right="109" w:firstLine="82"/>
        <w:jc w:val="both"/>
        <w:rPr>
          <w:sz w:val="20"/>
        </w:rPr>
      </w:pPr>
      <w:r>
        <w:rPr>
          <w:w w:val="115"/>
          <w:sz w:val="20"/>
        </w:rPr>
        <w:t>Taxa pentru autorizarea amplasării de chioşcuri, containere, tonete, cabine, spaţii de expunere, corpuri şi panouri de afişaj, firme şi reclame situate pe căile şi în spaţiile publice este de 8 lei, pentru fiecare metru pătrat de suprafaţă ocupată de</w:t>
      </w:r>
      <w:r>
        <w:rPr>
          <w:spacing w:val="-11"/>
          <w:w w:val="115"/>
          <w:sz w:val="20"/>
        </w:rPr>
        <w:t> </w:t>
      </w:r>
      <w:r>
        <w:rPr>
          <w:w w:val="115"/>
          <w:sz w:val="20"/>
        </w:rPr>
        <w:t>construcţie.</w:t>
      </w:r>
    </w:p>
    <w:p>
      <w:pPr>
        <w:pStyle w:val="ListParagraph"/>
        <w:numPr>
          <w:ilvl w:val="2"/>
          <w:numId w:val="18"/>
        </w:numPr>
        <w:tabs>
          <w:tab w:pos="392" w:val="left" w:leader="none"/>
        </w:tabs>
        <w:spacing w:line="271" w:lineRule="auto" w:before="2" w:after="0"/>
        <w:ind w:left="108" w:right="110" w:firstLine="0"/>
        <w:jc w:val="both"/>
        <w:rPr>
          <w:sz w:val="20"/>
        </w:rPr>
      </w:pPr>
      <w:r>
        <w:rPr>
          <w:w w:val="115"/>
          <w:sz w:val="20"/>
        </w:rPr>
        <w:t>Taxa pentru eliberarea unei autorizaţii privind lucrările de racorduri şi branşamente la reţele publice de apă, canalizare, gaze, termice, energie electrică, telefonie şi televiziune prin cablu este de 14 lei, pentru fiecare</w:t>
      </w:r>
      <w:r>
        <w:rPr>
          <w:spacing w:val="-2"/>
          <w:w w:val="115"/>
          <w:sz w:val="20"/>
        </w:rPr>
        <w:t> </w:t>
      </w:r>
      <w:r>
        <w:rPr>
          <w:w w:val="115"/>
          <w:sz w:val="20"/>
        </w:rPr>
        <w:t>racord.</w:t>
      </w:r>
    </w:p>
    <w:p>
      <w:pPr>
        <w:pStyle w:val="ListParagraph"/>
        <w:numPr>
          <w:ilvl w:val="2"/>
          <w:numId w:val="18"/>
        </w:numPr>
        <w:tabs>
          <w:tab w:pos="489" w:val="left" w:leader="none"/>
        </w:tabs>
        <w:spacing w:line="240" w:lineRule="auto" w:before="1" w:after="0"/>
        <w:ind w:left="488" w:right="0" w:hanging="329"/>
        <w:jc w:val="both"/>
        <w:rPr>
          <w:sz w:val="20"/>
        </w:rPr>
      </w:pPr>
      <w:r>
        <w:rPr>
          <w:w w:val="115"/>
          <w:sz w:val="20"/>
        </w:rPr>
        <w:t>Taxa pentru eliberarea certificatului de nomenclatură stradală şi adresă în sumă de 9</w:t>
      </w:r>
      <w:r>
        <w:rPr>
          <w:spacing w:val="-36"/>
          <w:w w:val="115"/>
          <w:sz w:val="20"/>
        </w:rPr>
        <w:t> </w:t>
      </w:r>
      <w:r>
        <w:rPr>
          <w:w w:val="115"/>
          <w:sz w:val="20"/>
        </w:rPr>
        <w:t>lei.</w:t>
      </w:r>
    </w:p>
    <w:p>
      <w:pPr>
        <w:pStyle w:val="ListParagraph"/>
        <w:numPr>
          <w:ilvl w:val="2"/>
          <w:numId w:val="18"/>
        </w:numPr>
        <w:tabs>
          <w:tab w:pos="483" w:val="left" w:leader="none"/>
        </w:tabs>
        <w:spacing w:line="240" w:lineRule="auto" w:before="140" w:after="0"/>
        <w:ind w:left="482" w:right="0" w:hanging="328"/>
        <w:jc w:val="both"/>
        <w:rPr>
          <w:sz w:val="20"/>
        </w:rPr>
      </w:pPr>
      <w:r>
        <w:rPr>
          <w:w w:val="115"/>
          <w:sz w:val="20"/>
        </w:rPr>
        <w:t>Taxa pentru eliberarea unui atestat de producator este de 79</w:t>
      </w:r>
      <w:r>
        <w:rPr>
          <w:spacing w:val="-17"/>
          <w:w w:val="115"/>
          <w:sz w:val="20"/>
        </w:rPr>
        <w:t> </w:t>
      </w:r>
      <w:r>
        <w:rPr>
          <w:w w:val="115"/>
          <w:sz w:val="20"/>
        </w:rPr>
        <w:t>lei.</w:t>
      </w:r>
    </w:p>
    <w:p>
      <w:pPr>
        <w:pStyle w:val="ListParagraph"/>
        <w:numPr>
          <w:ilvl w:val="2"/>
          <w:numId w:val="18"/>
        </w:numPr>
        <w:tabs>
          <w:tab w:pos="483" w:val="left" w:leader="none"/>
        </w:tabs>
        <w:spacing w:line="240" w:lineRule="auto" w:before="140" w:after="0"/>
        <w:ind w:left="482" w:right="0" w:hanging="328"/>
        <w:jc w:val="both"/>
        <w:rPr>
          <w:sz w:val="20"/>
        </w:rPr>
      </w:pPr>
      <w:r>
        <w:rPr>
          <w:w w:val="115"/>
          <w:sz w:val="20"/>
        </w:rPr>
        <w:t>Taxa pentru eliberarea unui carnet de comercializare este de 11</w:t>
      </w:r>
      <w:r>
        <w:rPr>
          <w:spacing w:val="-18"/>
          <w:w w:val="115"/>
          <w:sz w:val="20"/>
        </w:rPr>
        <w:t> </w:t>
      </w:r>
      <w:r>
        <w:rPr>
          <w:w w:val="115"/>
          <w:sz w:val="20"/>
        </w:rPr>
        <w:t>lei.</w:t>
      </w:r>
    </w:p>
    <w:p>
      <w:pPr>
        <w:pStyle w:val="ListParagraph"/>
        <w:numPr>
          <w:ilvl w:val="2"/>
          <w:numId w:val="18"/>
        </w:numPr>
        <w:tabs>
          <w:tab w:pos="553" w:val="left" w:leader="none"/>
        </w:tabs>
        <w:spacing w:line="271" w:lineRule="auto" w:before="139" w:after="0"/>
        <w:ind w:left="108" w:right="108" w:firstLine="51"/>
        <w:jc w:val="both"/>
        <w:rPr>
          <w:sz w:val="20"/>
        </w:rPr>
      </w:pPr>
      <w:r>
        <w:rPr>
          <w:w w:val="115"/>
          <w:sz w:val="20"/>
        </w:rPr>
        <w:t>Persoanele</w:t>
      </w:r>
      <w:r>
        <w:rPr>
          <w:spacing w:val="-9"/>
          <w:w w:val="115"/>
          <w:sz w:val="20"/>
        </w:rPr>
        <w:t> </w:t>
      </w:r>
      <w:r>
        <w:rPr>
          <w:w w:val="115"/>
          <w:sz w:val="20"/>
        </w:rPr>
        <w:t>a</w:t>
      </w:r>
      <w:r>
        <w:rPr>
          <w:spacing w:val="-8"/>
          <w:w w:val="115"/>
          <w:sz w:val="20"/>
        </w:rPr>
        <w:t> </w:t>
      </w:r>
      <w:r>
        <w:rPr>
          <w:w w:val="115"/>
          <w:sz w:val="20"/>
        </w:rPr>
        <w:t>căror</w:t>
      </w:r>
      <w:r>
        <w:rPr>
          <w:spacing w:val="-9"/>
          <w:w w:val="115"/>
          <w:sz w:val="20"/>
        </w:rPr>
        <w:t> </w:t>
      </w:r>
      <w:r>
        <w:rPr>
          <w:w w:val="115"/>
          <w:sz w:val="20"/>
        </w:rPr>
        <w:t>activitate</w:t>
      </w:r>
      <w:r>
        <w:rPr>
          <w:spacing w:val="-8"/>
          <w:w w:val="115"/>
          <w:sz w:val="20"/>
        </w:rPr>
        <w:t> </w:t>
      </w:r>
      <w:r>
        <w:rPr>
          <w:w w:val="115"/>
          <w:sz w:val="20"/>
        </w:rPr>
        <w:t>se</w:t>
      </w:r>
      <w:r>
        <w:rPr>
          <w:spacing w:val="-9"/>
          <w:w w:val="115"/>
          <w:sz w:val="20"/>
        </w:rPr>
        <w:t> </w:t>
      </w:r>
      <w:r>
        <w:rPr>
          <w:w w:val="115"/>
          <w:sz w:val="20"/>
        </w:rPr>
        <w:t>încadrează</w:t>
      </w:r>
      <w:r>
        <w:rPr>
          <w:spacing w:val="-8"/>
          <w:w w:val="115"/>
          <w:sz w:val="20"/>
        </w:rPr>
        <w:t> </w:t>
      </w:r>
      <w:r>
        <w:rPr>
          <w:w w:val="115"/>
          <w:sz w:val="20"/>
        </w:rPr>
        <w:t>în</w:t>
      </w:r>
      <w:r>
        <w:rPr>
          <w:spacing w:val="-8"/>
          <w:w w:val="115"/>
          <w:sz w:val="20"/>
        </w:rPr>
        <w:t> </w:t>
      </w:r>
      <w:r>
        <w:rPr>
          <w:w w:val="115"/>
          <w:sz w:val="20"/>
        </w:rPr>
        <w:t>grupele</w:t>
      </w:r>
      <w:r>
        <w:rPr>
          <w:spacing w:val="-9"/>
          <w:w w:val="115"/>
          <w:sz w:val="20"/>
        </w:rPr>
        <w:t> </w:t>
      </w:r>
      <w:r>
        <w:rPr>
          <w:w w:val="115"/>
          <w:sz w:val="20"/>
        </w:rPr>
        <w:t>561</w:t>
      </w:r>
      <w:r>
        <w:rPr>
          <w:spacing w:val="-8"/>
          <w:w w:val="115"/>
          <w:sz w:val="20"/>
        </w:rPr>
        <w:t> </w:t>
      </w:r>
      <w:r>
        <w:rPr>
          <w:w w:val="115"/>
          <w:sz w:val="20"/>
        </w:rPr>
        <w:t>–</w:t>
      </w:r>
      <w:r>
        <w:rPr>
          <w:spacing w:val="-9"/>
          <w:w w:val="115"/>
          <w:sz w:val="20"/>
        </w:rPr>
        <w:t> </w:t>
      </w:r>
      <w:r>
        <w:rPr>
          <w:w w:val="115"/>
          <w:sz w:val="20"/>
        </w:rPr>
        <w:t>Restaurante,</w:t>
      </w:r>
      <w:r>
        <w:rPr>
          <w:spacing w:val="-8"/>
          <w:w w:val="115"/>
          <w:sz w:val="20"/>
        </w:rPr>
        <w:t> </w:t>
      </w:r>
      <w:r>
        <w:rPr>
          <w:w w:val="115"/>
          <w:sz w:val="20"/>
        </w:rPr>
        <w:t>563</w:t>
      </w:r>
      <w:r>
        <w:rPr>
          <w:spacing w:val="-9"/>
          <w:w w:val="115"/>
          <w:sz w:val="20"/>
        </w:rPr>
        <w:t> </w:t>
      </w:r>
      <w:r>
        <w:rPr>
          <w:w w:val="115"/>
          <w:sz w:val="20"/>
        </w:rPr>
        <w:t>–</w:t>
      </w:r>
      <w:r>
        <w:rPr>
          <w:spacing w:val="-8"/>
          <w:w w:val="115"/>
          <w:sz w:val="20"/>
        </w:rPr>
        <w:t> </w:t>
      </w:r>
      <w:r>
        <w:rPr>
          <w:w w:val="115"/>
          <w:sz w:val="20"/>
        </w:rPr>
        <w:t>Baruri</w:t>
      </w:r>
      <w:r>
        <w:rPr>
          <w:spacing w:val="-8"/>
          <w:w w:val="115"/>
          <w:sz w:val="20"/>
        </w:rPr>
        <w:t> </w:t>
      </w:r>
      <w:r>
        <w:rPr>
          <w:w w:val="115"/>
          <w:sz w:val="20"/>
        </w:rPr>
        <w:t>şi</w:t>
      </w:r>
      <w:r>
        <w:rPr>
          <w:spacing w:val="-9"/>
          <w:w w:val="115"/>
          <w:sz w:val="20"/>
        </w:rPr>
        <w:t> </w:t>
      </w:r>
      <w:r>
        <w:rPr>
          <w:w w:val="115"/>
          <w:sz w:val="20"/>
        </w:rPr>
        <w:t>alte</w:t>
      </w:r>
      <w:r>
        <w:rPr>
          <w:spacing w:val="-8"/>
          <w:w w:val="115"/>
          <w:sz w:val="20"/>
        </w:rPr>
        <w:t> </w:t>
      </w:r>
      <w:r>
        <w:rPr>
          <w:w w:val="115"/>
          <w:sz w:val="20"/>
        </w:rPr>
        <w:t>activităţi de servire a băuturilor şi 932 – Alte activităţi recreative şi distractive potrivit Clasificării activităţilor din economia naţională </w:t>
      </w:r>
      <w:r>
        <w:rPr>
          <w:spacing w:val="-2"/>
          <w:w w:val="115"/>
          <w:sz w:val="20"/>
        </w:rPr>
        <w:t>–</w:t>
      </w:r>
      <w:hyperlink r:id="rId16">
        <w:r>
          <w:rPr>
            <w:color w:val="3DA7F6"/>
            <w:spacing w:val="-2"/>
            <w:w w:val="115"/>
            <w:sz w:val="20"/>
            <w:u w:val="single" w:color="3DA7F6"/>
          </w:rPr>
          <w:t>CAEN</w:t>
        </w:r>
      </w:hyperlink>
      <w:r>
        <w:rPr>
          <w:color w:val="3DA7F6"/>
          <w:spacing w:val="-2"/>
          <w:w w:val="115"/>
          <w:sz w:val="20"/>
          <w:u w:val="single" w:color="3DA7F6"/>
        </w:rPr>
        <w:t>,</w:t>
      </w:r>
      <w:r>
        <w:rPr>
          <w:color w:val="3DA7F6"/>
          <w:spacing w:val="-2"/>
          <w:w w:val="115"/>
          <w:sz w:val="20"/>
        </w:rPr>
        <w:t> </w:t>
      </w:r>
      <w:r>
        <w:rPr>
          <w:w w:val="115"/>
          <w:sz w:val="20"/>
        </w:rPr>
        <w:t>actualizată prin Ordinul preşedintelui Institutului Naţional de Statistică nr. 337/2007</w:t>
      </w:r>
      <w:r>
        <w:rPr>
          <w:spacing w:val="-12"/>
          <w:w w:val="115"/>
          <w:sz w:val="20"/>
        </w:rPr>
        <w:t> </w:t>
      </w:r>
      <w:r>
        <w:rPr>
          <w:w w:val="115"/>
          <w:sz w:val="20"/>
        </w:rPr>
        <w:t>privind</w:t>
      </w:r>
      <w:r>
        <w:rPr>
          <w:spacing w:val="-11"/>
          <w:w w:val="115"/>
          <w:sz w:val="20"/>
        </w:rPr>
        <w:t> </w:t>
      </w:r>
      <w:r>
        <w:rPr>
          <w:w w:val="115"/>
          <w:sz w:val="20"/>
        </w:rPr>
        <w:t>actualizarea</w:t>
      </w:r>
      <w:r>
        <w:rPr>
          <w:spacing w:val="-11"/>
          <w:w w:val="115"/>
          <w:sz w:val="20"/>
        </w:rPr>
        <w:t> </w:t>
      </w:r>
      <w:r>
        <w:rPr>
          <w:w w:val="115"/>
          <w:sz w:val="20"/>
        </w:rPr>
        <w:t>Clasificării</w:t>
      </w:r>
      <w:r>
        <w:rPr>
          <w:spacing w:val="-11"/>
          <w:w w:val="115"/>
          <w:sz w:val="20"/>
        </w:rPr>
        <w:t> </w:t>
      </w:r>
      <w:r>
        <w:rPr>
          <w:w w:val="115"/>
          <w:sz w:val="20"/>
        </w:rPr>
        <w:t>activităţilor</w:t>
      </w:r>
      <w:r>
        <w:rPr>
          <w:spacing w:val="-12"/>
          <w:w w:val="115"/>
          <w:sz w:val="20"/>
        </w:rPr>
        <w:t> </w:t>
      </w:r>
      <w:r>
        <w:rPr>
          <w:w w:val="115"/>
          <w:sz w:val="20"/>
        </w:rPr>
        <w:t>din</w:t>
      </w:r>
      <w:r>
        <w:rPr>
          <w:spacing w:val="-11"/>
          <w:w w:val="115"/>
          <w:sz w:val="20"/>
        </w:rPr>
        <w:t> </w:t>
      </w:r>
      <w:r>
        <w:rPr>
          <w:w w:val="115"/>
          <w:sz w:val="20"/>
        </w:rPr>
        <w:t>economia</w:t>
      </w:r>
      <w:r>
        <w:rPr>
          <w:spacing w:val="-11"/>
          <w:w w:val="115"/>
          <w:sz w:val="20"/>
        </w:rPr>
        <w:t> </w:t>
      </w:r>
      <w:r>
        <w:rPr>
          <w:w w:val="115"/>
          <w:sz w:val="20"/>
        </w:rPr>
        <w:t>naţională</w:t>
      </w:r>
      <w:r>
        <w:rPr>
          <w:spacing w:val="-11"/>
          <w:w w:val="115"/>
          <w:sz w:val="20"/>
        </w:rPr>
        <w:t> </w:t>
      </w:r>
      <w:r>
        <w:rPr>
          <w:spacing w:val="-4"/>
          <w:w w:val="115"/>
          <w:sz w:val="20"/>
        </w:rPr>
        <w:t>–</w:t>
      </w:r>
      <w:hyperlink r:id="rId16">
        <w:r>
          <w:rPr>
            <w:color w:val="3DA7F6"/>
            <w:spacing w:val="-15"/>
            <w:w w:val="115"/>
            <w:sz w:val="20"/>
            <w:u w:val="single" w:color="3DA7F6"/>
          </w:rPr>
          <w:t> </w:t>
        </w:r>
        <w:r>
          <w:rPr>
            <w:color w:val="3DA7F6"/>
            <w:w w:val="115"/>
            <w:sz w:val="20"/>
            <w:u w:val="single" w:color="3DA7F6"/>
          </w:rPr>
          <w:t>CAEN</w:t>
        </w:r>
      </w:hyperlink>
      <w:r>
        <w:rPr>
          <w:color w:val="3DA7F6"/>
          <w:w w:val="115"/>
          <w:sz w:val="20"/>
          <w:u w:val="single" w:color="3DA7F6"/>
        </w:rPr>
        <w:t>,</w:t>
      </w:r>
      <w:r>
        <w:rPr>
          <w:color w:val="3DA7F6"/>
          <w:spacing w:val="-4"/>
          <w:w w:val="115"/>
          <w:sz w:val="20"/>
        </w:rPr>
        <w:t> </w:t>
      </w:r>
      <w:r>
        <w:rPr>
          <w:w w:val="115"/>
          <w:sz w:val="20"/>
        </w:rPr>
        <w:t>datorează</w:t>
      </w:r>
      <w:r>
        <w:rPr>
          <w:spacing w:val="-3"/>
          <w:w w:val="115"/>
          <w:sz w:val="20"/>
        </w:rPr>
        <w:t> </w:t>
      </w:r>
      <w:r>
        <w:rPr>
          <w:w w:val="115"/>
          <w:sz w:val="20"/>
        </w:rPr>
        <w:t>bugetului local al comunei, oraşului sau municipiului, după caz, în a cărui rază administrativ-teritorială se desfăşoară activitatea, o taxă pentru eliberarea/vizarea anuală a autorizaţiei privind desfăşurarea activităţii</w:t>
      </w:r>
      <w:r>
        <w:rPr>
          <w:spacing w:val="-9"/>
          <w:w w:val="115"/>
          <w:sz w:val="20"/>
        </w:rPr>
        <w:t> </w:t>
      </w:r>
      <w:r>
        <w:rPr>
          <w:w w:val="115"/>
          <w:sz w:val="20"/>
        </w:rPr>
        <w:t>de</w:t>
      </w:r>
      <w:r>
        <w:rPr>
          <w:spacing w:val="-8"/>
          <w:w w:val="115"/>
          <w:sz w:val="20"/>
        </w:rPr>
        <w:t> </w:t>
      </w:r>
      <w:r>
        <w:rPr>
          <w:w w:val="115"/>
          <w:sz w:val="20"/>
        </w:rPr>
        <w:t>alimentaţie</w:t>
      </w:r>
      <w:r>
        <w:rPr>
          <w:spacing w:val="-8"/>
          <w:w w:val="115"/>
          <w:sz w:val="20"/>
        </w:rPr>
        <w:t> </w:t>
      </w:r>
      <w:r>
        <w:rPr>
          <w:w w:val="115"/>
          <w:sz w:val="20"/>
        </w:rPr>
        <w:t>publică,</w:t>
      </w:r>
      <w:r>
        <w:rPr>
          <w:spacing w:val="-8"/>
          <w:w w:val="115"/>
          <w:sz w:val="20"/>
        </w:rPr>
        <w:t> </w:t>
      </w:r>
      <w:r>
        <w:rPr>
          <w:w w:val="115"/>
          <w:sz w:val="20"/>
        </w:rPr>
        <w:t>în</w:t>
      </w:r>
      <w:r>
        <w:rPr>
          <w:spacing w:val="-9"/>
          <w:w w:val="115"/>
          <w:sz w:val="20"/>
        </w:rPr>
        <w:t> </w:t>
      </w:r>
      <w:r>
        <w:rPr>
          <w:w w:val="115"/>
          <w:sz w:val="20"/>
        </w:rPr>
        <w:t>funcţie</w:t>
      </w:r>
      <w:r>
        <w:rPr>
          <w:spacing w:val="-8"/>
          <w:w w:val="115"/>
          <w:sz w:val="20"/>
        </w:rPr>
        <w:t> </w:t>
      </w:r>
      <w:r>
        <w:rPr>
          <w:w w:val="115"/>
          <w:sz w:val="20"/>
        </w:rPr>
        <w:t>de</w:t>
      </w:r>
      <w:r>
        <w:rPr>
          <w:spacing w:val="-8"/>
          <w:w w:val="115"/>
          <w:sz w:val="20"/>
        </w:rPr>
        <w:t> </w:t>
      </w:r>
      <w:r>
        <w:rPr>
          <w:w w:val="115"/>
          <w:sz w:val="20"/>
        </w:rPr>
        <w:t>suprafaţa</w:t>
      </w:r>
      <w:r>
        <w:rPr>
          <w:spacing w:val="-8"/>
          <w:w w:val="115"/>
          <w:sz w:val="20"/>
        </w:rPr>
        <w:t> </w:t>
      </w:r>
      <w:r>
        <w:rPr>
          <w:w w:val="115"/>
          <w:sz w:val="20"/>
        </w:rPr>
        <w:t>aferentă</w:t>
      </w:r>
      <w:r>
        <w:rPr>
          <w:spacing w:val="-9"/>
          <w:w w:val="115"/>
          <w:sz w:val="20"/>
        </w:rPr>
        <w:t> </w:t>
      </w:r>
      <w:r>
        <w:rPr>
          <w:w w:val="115"/>
          <w:sz w:val="20"/>
        </w:rPr>
        <w:t>activităţilor</w:t>
      </w:r>
      <w:r>
        <w:rPr>
          <w:spacing w:val="-8"/>
          <w:w w:val="115"/>
          <w:sz w:val="20"/>
        </w:rPr>
        <w:t> </w:t>
      </w:r>
      <w:r>
        <w:rPr>
          <w:w w:val="115"/>
          <w:sz w:val="20"/>
        </w:rPr>
        <w:t>respective,</w:t>
      </w:r>
      <w:r>
        <w:rPr>
          <w:spacing w:val="-8"/>
          <w:w w:val="115"/>
          <w:sz w:val="20"/>
        </w:rPr>
        <w:t> </w:t>
      </w:r>
      <w:r>
        <w:rPr>
          <w:w w:val="115"/>
          <w:sz w:val="20"/>
        </w:rPr>
        <w:t>în</w:t>
      </w:r>
      <w:r>
        <w:rPr>
          <w:spacing w:val="-8"/>
          <w:w w:val="115"/>
          <w:sz w:val="20"/>
        </w:rPr>
        <w:t> </w:t>
      </w:r>
      <w:r>
        <w:rPr>
          <w:w w:val="115"/>
          <w:sz w:val="20"/>
        </w:rPr>
        <w:t>sumă</w:t>
      </w:r>
      <w:r>
        <w:rPr>
          <w:spacing w:val="-9"/>
          <w:w w:val="115"/>
          <w:sz w:val="20"/>
        </w:rPr>
        <w:t> </w:t>
      </w:r>
      <w:r>
        <w:rPr>
          <w:w w:val="115"/>
          <w:sz w:val="20"/>
        </w:rPr>
        <w:t>de:</w:t>
      </w:r>
    </w:p>
    <w:p>
      <w:pPr>
        <w:pStyle w:val="ListParagraph"/>
        <w:numPr>
          <w:ilvl w:val="3"/>
          <w:numId w:val="18"/>
        </w:numPr>
        <w:tabs>
          <w:tab w:pos="1047" w:val="left" w:leader="none"/>
        </w:tabs>
        <w:spacing w:line="240" w:lineRule="auto" w:before="110" w:after="0"/>
        <w:ind w:left="1046" w:right="0" w:hanging="265"/>
        <w:jc w:val="left"/>
        <w:rPr>
          <w:sz w:val="20"/>
        </w:rPr>
      </w:pPr>
      <w:r>
        <w:rPr>
          <w:spacing w:val="-1"/>
          <w:w w:val="112"/>
          <w:sz w:val="20"/>
        </w:rPr>
        <w:t>33</w:t>
      </w:r>
      <w:r>
        <w:rPr>
          <w:w w:val="112"/>
          <w:sz w:val="20"/>
        </w:rPr>
        <w:t>4</w:t>
      </w:r>
      <w:r>
        <w:rPr>
          <w:spacing w:val="6"/>
          <w:sz w:val="20"/>
        </w:rPr>
        <w:t> </w:t>
      </w:r>
      <w:r>
        <w:rPr>
          <w:w w:val="109"/>
          <w:sz w:val="20"/>
        </w:rPr>
        <w:t>l</w:t>
      </w:r>
      <w:r>
        <w:rPr>
          <w:spacing w:val="-1"/>
          <w:w w:val="112"/>
          <w:sz w:val="20"/>
        </w:rPr>
        <w:t>e</w:t>
      </w:r>
      <w:r>
        <w:rPr>
          <w:w w:val="109"/>
          <w:sz w:val="20"/>
        </w:rPr>
        <w:t>i</w:t>
      </w:r>
      <w:r>
        <w:rPr>
          <w:w w:val="103"/>
          <w:sz w:val="20"/>
        </w:rPr>
        <w:t>,</w:t>
      </w:r>
      <w:r>
        <w:rPr>
          <w:spacing w:val="6"/>
          <w:sz w:val="20"/>
        </w:rPr>
        <w:t> </w:t>
      </w:r>
      <w:r>
        <w:rPr>
          <w:w w:val="116"/>
          <w:sz w:val="20"/>
        </w:rPr>
        <w:t>p</w:t>
      </w:r>
      <w:r>
        <w:rPr>
          <w:spacing w:val="-1"/>
          <w:w w:val="112"/>
          <w:sz w:val="20"/>
        </w:rPr>
        <w:t>e</w:t>
      </w:r>
      <w:r>
        <w:rPr>
          <w:spacing w:val="-1"/>
          <w:w w:val="116"/>
          <w:sz w:val="20"/>
        </w:rPr>
        <w:t>n</w:t>
      </w:r>
      <w:r>
        <w:rPr>
          <w:spacing w:val="-1"/>
          <w:w w:val="106"/>
          <w:sz w:val="20"/>
        </w:rPr>
        <w:t>t</w:t>
      </w:r>
      <w:r>
        <w:rPr>
          <w:w w:val="116"/>
          <w:sz w:val="20"/>
        </w:rPr>
        <w:t>r</w:t>
      </w:r>
      <w:r>
        <w:rPr>
          <w:w w:val="116"/>
          <w:sz w:val="20"/>
        </w:rPr>
        <w:t>u</w:t>
      </w:r>
      <w:r>
        <w:rPr>
          <w:spacing w:val="6"/>
          <w:sz w:val="20"/>
        </w:rPr>
        <w:t> </w:t>
      </w:r>
      <w:r>
        <w:rPr>
          <w:w w:val="113"/>
          <w:sz w:val="20"/>
        </w:rPr>
        <w:t>o</w:t>
      </w:r>
      <w:r>
        <w:rPr>
          <w:spacing w:val="6"/>
          <w:sz w:val="20"/>
        </w:rPr>
        <w:t> </w:t>
      </w:r>
      <w:r>
        <w:rPr>
          <w:spacing w:val="-1"/>
          <w:w w:val="121"/>
          <w:sz w:val="20"/>
        </w:rPr>
        <w:t>s</w:t>
      </w:r>
      <w:r>
        <w:rPr>
          <w:spacing w:val="-1"/>
          <w:w w:val="116"/>
          <w:sz w:val="20"/>
        </w:rPr>
        <w:t>u</w:t>
      </w:r>
      <w:r>
        <w:rPr>
          <w:w w:val="116"/>
          <w:sz w:val="20"/>
        </w:rPr>
        <w:t>p</w:t>
      </w:r>
      <w:r>
        <w:rPr>
          <w:w w:val="116"/>
          <w:sz w:val="20"/>
        </w:rPr>
        <w:t>r</w:t>
      </w:r>
      <w:r>
        <w:rPr>
          <w:spacing w:val="-1"/>
          <w:w w:val="115"/>
          <w:sz w:val="20"/>
        </w:rPr>
        <w:t>a</w:t>
      </w:r>
      <w:r>
        <w:rPr>
          <w:spacing w:val="-1"/>
          <w:w w:val="110"/>
          <w:sz w:val="20"/>
        </w:rPr>
        <w:t>f</w:t>
      </w:r>
      <w:r>
        <w:rPr>
          <w:spacing w:val="-1"/>
          <w:w w:val="115"/>
          <w:sz w:val="20"/>
        </w:rPr>
        <w:t>a</w:t>
      </w:r>
      <w:r>
        <w:rPr>
          <w:spacing w:val="-1"/>
          <w:w w:val="106"/>
          <w:sz w:val="20"/>
        </w:rPr>
        <w:t>ţ</w:t>
      </w:r>
      <w:r>
        <w:rPr>
          <w:w w:val="115"/>
          <w:sz w:val="20"/>
        </w:rPr>
        <w:t>ă</w:t>
      </w:r>
      <w:r>
        <w:rPr>
          <w:spacing w:val="6"/>
          <w:sz w:val="20"/>
        </w:rPr>
        <w:t> </w:t>
      </w:r>
      <w:r>
        <w:rPr>
          <w:w w:val="116"/>
          <w:sz w:val="20"/>
        </w:rPr>
        <w:t>d</w:t>
      </w:r>
      <w:r>
        <w:rPr>
          <w:w w:val="112"/>
          <w:sz w:val="20"/>
        </w:rPr>
        <w:t>e</w:t>
      </w:r>
      <w:r>
        <w:rPr>
          <w:spacing w:val="6"/>
          <w:sz w:val="20"/>
        </w:rPr>
        <w:t> </w:t>
      </w:r>
      <w:r>
        <w:rPr>
          <w:w w:val="116"/>
          <w:sz w:val="20"/>
        </w:rPr>
        <w:t>p</w:t>
      </w:r>
      <w:r>
        <w:rPr>
          <w:spacing w:val="-1"/>
          <w:w w:val="115"/>
          <w:sz w:val="20"/>
        </w:rPr>
        <w:t>â</w:t>
      </w:r>
      <w:r>
        <w:rPr>
          <w:spacing w:val="-1"/>
          <w:w w:val="116"/>
          <w:sz w:val="20"/>
        </w:rPr>
        <w:t>n</w:t>
      </w:r>
      <w:r>
        <w:rPr>
          <w:w w:val="115"/>
          <w:sz w:val="20"/>
        </w:rPr>
        <w:t>ă</w:t>
      </w:r>
      <w:r>
        <w:rPr>
          <w:spacing w:val="6"/>
          <w:sz w:val="20"/>
        </w:rPr>
        <w:t> </w:t>
      </w:r>
      <w:r>
        <w:rPr>
          <w:w w:val="109"/>
          <w:sz w:val="20"/>
        </w:rPr>
        <w:t>l</w:t>
      </w:r>
      <w:r>
        <w:rPr>
          <w:w w:val="115"/>
          <w:sz w:val="20"/>
        </w:rPr>
        <w:t>a</w:t>
      </w:r>
      <w:r>
        <w:rPr>
          <w:spacing w:val="6"/>
          <w:sz w:val="20"/>
        </w:rPr>
        <w:t> </w:t>
      </w:r>
      <w:r>
        <w:rPr>
          <w:spacing w:val="-1"/>
          <w:w w:val="112"/>
          <w:sz w:val="20"/>
        </w:rPr>
        <w:t>50</w:t>
      </w:r>
      <w:r>
        <w:rPr>
          <w:w w:val="112"/>
          <w:sz w:val="20"/>
        </w:rPr>
        <w:t>0</w:t>
      </w:r>
      <w:r>
        <w:rPr>
          <w:spacing w:val="6"/>
          <w:sz w:val="20"/>
        </w:rPr>
        <w:t> </w:t>
      </w:r>
      <w:r>
        <w:rPr>
          <w:spacing w:val="-68"/>
          <w:w w:val="115"/>
          <w:sz w:val="20"/>
        </w:rPr>
        <w:t>m</w:t>
      </w:r>
      <w:r>
        <w:rPr>
          <w:spacing w:val="4"/>
          <w:w w:val="115"/>
          <w:position w:val="8"/>
          <w:sz w:val="15"/>
        </w:rPr>
        <w:t>2</w:t>
      </w:r>
      <w:r>
        <w:rPr>
          <w:w w:val="103"/>
          <w:sz w:val="20"/>
        </w:rPr>
        <w:t>,</w:t>
      </w:r>
      <w:r>
        <w:rPr>
          <w:spacing w:val="6"/>
          <w:sz w:val="20"/>
        </w:rPr>
        <w:t> </w:t>
      </w:r>
      <w:r>
        <w:rPr>
          <w:w w:val="109"/>
          <w:sz w:val="20"/>
        </w:rPr>
        <w:t>i</w:t>
      </w:r>
      <w:r>
        <w:rPr>
          <w:spacing w:val="-1"/>
          <w:w w:val="116"/>
          <w:sz w:val="20"/>
        </w:rPr>
        <w:t>n</w:t>
      </w:r>
      <w:r>
        <w:rPr>
          <w:spacing w:val="-1"/>
          <w:w w:val="113"/>
          <w:sz w:val="20"/>
        </w:rPr>
        <w:t>c</w:t>
      </w:r>
      <w:r>
        <w:rPr>
          <w:w w:val="109"/>
          <w:sz w:val="20"/>
        </w:rPr>
        <w:t>l</w:t>
      </w:r>
      <w:r>
        <w:rPr>
          <w:spacing w:val="-1"/>
          <w:w w:val="116"/>
          <w:sz w:val="20"/>
        </w:rPr>
        <w:t>u</w:t>
      </w:r>
      <w:r>
        <w:rPr>
          <w:spacing w:val="-1"/>
          <w:w w:val="121"/>
          <w:sz w:val="20"/>
        </w:rPr>
        <w:t>s</w:t>
      </w:r>
      <w:r>
        <w:rPr>
          <w:w w:val="109"/>
          <w:sz w:val="20"/>
        </w:rPr>
        <w:t>i</w:t>
      </w:r>
      <w:r>
        <w:rPr>
          <w:spacing w:val="-1"/>
          <w:w w:val="110"/>
          <w:sz w:val="20"/>
        </w:rPr>
        <w:t>v</w:t>
      </w:r>
      <w:r>
        <w:rPr>
          <w:w w:val="97"/>
          <w:sz w:val="20"/>
        </w:rPr>
        <w:t>;</w:t>
      </w:r>
    </w:p>
    <w:p>
      <w:pPr>
        <w:pStyle w:val="ListParagraph"/>
        <w:numPr>
          <w:ilvl w:val="3"/>
          <w:numId w:val="18"/>
        </w:numPr>
        <w:tabs>
          <w:tab w:pos="1011" w:val="left" w:leader="none"/>
        </w:tabs>
        <w:spacing w:line="240" w:lineRule="auto" w:before="138" w:after="0"/>
        <w:ind w:left="1010" w:right="0" w:hanging="229"/>
        <w:jc w:val="left"/>
        <w:rPr>
          <w:sz w:val="20"/>
        </w:rPr>
      </w:pPr>
      <w:r>
        <w:rPr>
          <w:spacing w:val="-1"/>
          <w:w w:val="121"/>
          <w:sz w:val="20"/>
        </w:rPr>
        <w:t>s</w:t>
      </w:r>
      <w:r>
        <w:rPr>
          <w:spacing w:val="-1"/>
          <w:w w:val="116"/>
          <w:sz w:val="20"/>
        </w:rPr>
        <w:t>u</w:t>
      </w:r>
      <w:r>
        <w:rPr>
          <w:spacing w:val="-1"/>
          <w:w w:val="115"/>
          <w:sz w:val="20"/>
        </w:rPr>
        <w:t>m</w:t>
      </w:r>
      <w:r>
        <w:rPr>
          <w:w w:val="115"/>
          <w:sz w:val="20"/>
        </w:rPr>
        <w:t>a</w:t>
      </w:r>
      <w:r>
        <w:rPr>
          <w:spacing w:val="6"/>
          <w:sz w:val="20"/>
        </w:rPr>
        <w:t> </w:t>
      </w:r>
      <w:r>
        <w:rPr>
          <w:w w:val="116"/>
          <w:sz w:val="20"/>
        </w:rPr>
        <w:t>d</w:t>
      </w:r>
      <w:r>
        <w:rPr>
          <w:w w:val="112"/>
          <w:sz w:val="20"/>
        </w:rPr>
        <w:t>e</w:t>
      </w:r>
      <w:r>
        <w:rPr>
          <w:spacing w:val="6"/>
          <w:sz w:val="20"/>
        </w:rPr>
        <w:t> </w:t>
      </w:r>
      <w:r>
        <w:rPr>
          <w:spacing w:val="-1"/>
          <w:w w:val="112"/>
          <w:sz w:val="20"/>
        </w:rPr>
        <w:t>5</w:t>
      </w:r>
      <w:r>
        <w:rPr>
          <w:spacing w:val="-1"/>
          <w:w w:val="103"/>
          <w:sz w:val="20"/>
        </w:rPr>
        <w:t>.</w:t>
      </w:r>
      <w:r>
        <w:rPr>
          <w:spacing w:val="-1"/>
          <w:w w:val="112"/>
          <w:sz w:val="20"/>
        </w:rPr>
        <w:t>01</w:t>
      </w:r>
      <w:r>
        <w:rPr>
          <w:w w:val="112"/>
          <w:sz w:val="20"/>
        </w:rPr>
        <w:t>3</w:t>
      </w:r>
      <w:r>
        <w:rPr>
          <w:spacing w:val="6"/>
          <w:sz w:val="20"/>
        </w:rPr>
        <w:t> </w:t>
      </w:r>
      <w:r>
        <w:rPr>
          <w:w w:val="109"/>
          <w:sz w:val="20"/>
        </w:rPr>
        <w:t>l</w:t>
      </w:r>
      <w:r>
        <w:rPr>
          <w:spacing w:val="-1"/>
          <w:w w:val="112"/>
          <w:sz w:val="20"/>
        </w:rPr>
        <w:t>e</w:t>
      </w:r>
      <w:r>
        <w:rPr>
          <w:w w:val="109"/>
          <w:sz w:val="20"/>
        </w:rPr>
        <w:t>i</w:t>
      </w:r>
      <w:r>
        <w:rPr>
          <w:spacing w:val="6"/>
          <w:sz w:val="20"/>
        </w:rPr>
        <w:t> </w:t>
      </w:r>
      <w:r>
        <w:rPr>
          <w:w w:val="116"/>
          <w:sz w:val="20"/>
        </w:rPr>
        <w:t>p</w:t>
      </w:r>
      <w:r>
        <w:rPr>
          <w:spacing w:val="-1"/>
          <w:w w:val="112"/>
          <w:sz w:val="20"/>
        </w:rPr>
        <w:t>e</w:t>
      </w:r>
      <w:r>
        <w:rPr>
          <w:spacing w:val="-1"/>
          <w:w w:val="116"/>
          <w:sz w:val="20"/>
        </w:rPr>
        <w:t>n</w:t>
      </w:r>
      <w:r>
        <w:rPr>
          <w:spacing w:val="-1"/>
          <w:w w:val="106"/>
          <w:sz w:val="20"/>
        </w:rPr>
        <w:t>t</w:t>
      </w:r>
      <w:r>
        <w:rPr>
          <w:w w:val="116"/>
          <w:sz w:val="20"/>
        </w:rPr>
        <w:t>r</w:t>
      </w:r>
      <w:r>
        <w:rPr>
          <w:w w:val="116"/>
          <w:sz w:val="20"/>
        </w:rPr>
        <w:t>u</w:t>
      </w:r>
      <w:r>
        <w:rPr>
          <w:spacing w:val="6"/>
          <w:sz w:val="20"/>
        </w:rPr>
        <w:t> </w:t>
      </w:r>
      <w:r>
        <w:rPr>
          <w:w w:val="113"/>
          <w:sz w:val="20"/>
        </w:rPr>
        <w:t>o</w:t>
      </w:r>
      <w:r>
        <w:rPr>
          <w:spacing w:val="6"/>
          <w:sz w:val="20"/>
        </w:rPr>
        <w:t> </w:t>
      </w:r>
      <w:r>
        <w:rPr>
          <w:spacing w:val="-1"/>
          <w:w w:val="121"/>
          <w:sz w:val="20"/>
        </w:rPr>
        <w:t>s</w:t>
      </w:r>
      <w:r>
        <w:rPr>
          <w:spacing w:val="-1"/>
          <w:w w:val="116"/>
          <w:sz w:val="20"/>
        </w:rPr>
        <w:t>u</w:t>
      </w:r>
      <w:r>
        <w:rPr>
          <w:w w:val="116"/>
          <w:sz w:val="20"/>
        </w:rPr>
        <w:t>p</w:t>
      </w:r>
      <w:r>
        <w:rPr>
          <w:w w:val="116"/>
          <w:sz w:val="20"/>
        </w:rPr>
        <w:t>r</w:t>
      </w:r>
      <w:r>
        <w:rPr>
          <w:spacing w:val="-1"/>
          <w:w w:val="115"/>
          <w:sz w:val="20"/>
        </w:rPr>
        <w:t>a</w:t>
      </w:r>
      <w:r>
        <w:rPr>
          <w:spacing w:val="-1"/>
          <w:w w:val="110"/>
          <w:sz w:val="20"/>
        </w:rPr>
        <w:t>f</w:t>
      </w:r>
      <w:r>
        <w:rPr>
          <w:spacing w:val="-1"/>
          <w:w w:val="115"/>
          <w:sz w:val="20"/>
        </w:rPr>
        <w:t>a</w:t>
      </w:r>
      <w:r>
        <w:rPr>
          <w:spacing w:val="-1"/>
          <w:w w:val="106"/>
          <w:sz w:val="20"/>
        </w:rPr>
        <w:t>ţ</w:t>
      </w:r>
      <w:r>
        <w:rPr>
          <w:w w:val="115"/>
          <w:sz w:val="20"/>
        </w:rPr>
        <w:t>ă</w:t>
      </w:r>
      <w:r>
        <w:rPr>
          <w:spacing w:val="6"/>
          <w:sz w:val="20"/>
        </w:rPr>
        <w:t> </w:t>
      </w:r>
      <w:r>
        <w:rPr>
          <w:spacing w:val="-1"/>
          <w:w w:val="115"/>
          <w:sz w:val="20"/>
        </w:rPr>
        <w:t>m</w:t>
      </w:r>
      <w:r>
        <w:rPr>
          <w:spacing w:val="-1"/>
          <w:w w:val="115"/>
          <w:sz w:val="20"/>
        </w:rPr>
        <w:t>a</w:t>
      </w:r>
      <w:r>
        <w:rPr>
          <w:w w:val="109"/>
          <w:sz w:val="20"/>
        </w:rPr>
        <w:t>i</w:t>
      </w:r>
      <w:r>
        <w:rPr>
          <w:spacing w:val="6"/>
          <w:sz w:val="20"/>
        </w:rPr>
        <w:t> </w:t>
      </w:r>
      <w:r>
        <w:rPr>
          <w:spacing w:val="-1"/>
          <w:w w:val="115"/>
          <w:sz w:val="20"/>
        </w:rPr>
        <w:t>m</w:t>
      </w:r>
      <w:r>
        <w:rPr>
          <w:spacing w:val="-1"/>
          <w:w w:val="115"/>
          <w:sz w:val="20"/>
        </w:rPr>
        <w:t>a</w:t>
      </w:r>
      <w:r>
        <w:rPr>
          <w:w w:val="116"/>
          <w:sz w:val="20"/>
        </w:rPr>
        <w:t>r</w:t>
      </w:r>
      <w:r>
        <w:rPr>
          <w:w w:val="112"/>
          <w:sz w:val="20"/>
        </w:rPr>
        <w:t>e</w:t>
      </w:r>
      <w:r>
        <w:rPr>
          <w:spacing w:val="6"/>
          <w:sz w:val="20"/>
        </w:rPr>
        <w:t> </w:t>
      </w:r>
      <w:r>
        <w:rPr>
          <w:w w:val="116"/>
          <w:sz w:val="20"/>
        </w:rPr>
        <w:t>d</w:t>
      </w:r>
      <w:r>
        <w:rPr>
          <w:w w:val="112"/>
          <w:sz w:val="20"/>
        </w:rPr>
        <w:t>e</w:t>
      </w:r>
      <w:r>
        <w:rPr>
          <w:spacing w:val="6"/>
          <w:sz w:val="20"/>
        </w:rPr>
        <w:t> </w:t>
      </w:r>
      <w:r>
        <w:rPr>
          <w:spacing w:val="-1"/>
          <w:w w:val="112"/>
          <w:sz w:val="20"/>
        </w:rPr>
        <w:t>50</w:t>
      </w:r>
      <w:r>
        <w:rPr>
          <w:w w:val="112"/>
          <w:sz w:val="20"/>
        </w:rPr>
        <w:t>0</w:t>
      </w:r>
      <w:r>
        <w:rPr>
          <w:spacing w:val="6"/>
          <w:sz w:val="20"/>
        </w:rPr>
        <w:t> </w:t>
      </w:r>
      <w:r>
        <w:rPr>
          <w:spacing w:val="-84"/>
          <w:w w:val="115"/>
          <w:sz w:val="20"/>
        </w:rPr>
        <w:t>m</w:t>
      </w:r>
      <w:r>
        <w:rPr>
          <w:spacing w:val="4"/>
          <w:w w:val="115"/>
          <w:position w:val="8"/>
          <w:sz w:val="15"/>
        </w:rPr>
        <w:t>2</w:t>
      </w:r>
      <w:r>
        <w:rPr>
          <w:w w:val="103"/>
          <w:sz w:val="20"/>
        </w:rPr>
        <w:t>.</w:t>
      </w:r>
    </w:p>
    <w:p>
      <w:pPr>
        <w:pStyle w:val="ListParagraph"/>
        <w:numPr>
          <w:ilvl w:val="2"/>
          <w:numId w:val="18"/>
        </w:numPr>
        <w:tabs>
          <w:tab w:pos="595" w:val="left" w:leader="none"/>
        </w:tabs>
        <w:spacing w:line="271" w:lineRule="auto" w:before="139" w:after="0"/>
        <w:ind w:left="108" w:right="113" w:firstLine="0"/>
        <w:jc w:val="both"/>
        <w:rPr>
          <w:sz w:val="20"/>
        </w:rPr>
      </w:pPr>
      <w:r>
        <w:rPr>
          <w:w w:val="115"/>
          <w:sz w:val="20"/>
        </w:rPr>
        <w:t>Autorizaţia privind desfăşurarea activităţii de alimentaţie publică, în cazul în care comerciantul îndeplineşte</w:t>
      </w:r>
      <w:r>
        <w:rPr>
          <w:spacing w:val="-5"/>
          <w:w w:val="115"/>
          <w:sz w:val="20"/>
        </w:rPr>
        <w:t> </w:t>
      </w:r>
      <w:r>
        <w:rPr>
          <w:w w:val="115"/>
          <w:sz w:val="20"/>
        </w:rPr>
        <w:t>condiţiile</w:t>
      </w:r>
      <w:r>
        <w:rPr>
          <w:spacing w:val="-4"/>
          <w:w w:val="115"/>
          <w:sz w:val="20"/>
        </w:rPr>
        <w:t> </w:t>
      </w:r>
      <w:r>
        <w:rPr>
          <w:w w:val="115"/>
          <w:sz w:val="20"/>
        </w:rPr>
        <w:t>prevăzute</w:t>
      </w:r>
      <w:r>
        <w:rPr>
          <w:spacing w:val="-5"/>
          <w:w w:val="115"/>
          <w:sz w:val="20"/>
        </w:rPr>
        <w:t> </w:t>
      </w:r>
      <w:r>
        <w:rPr>
          <w:w w:val="115"/>
          <w:sz w:val="20"/>
        </w:rPr>
        <w:t>de</w:t>
      </w:r>
      <w:r>
        <w:rPr>
          <w:spacing w:val="-4"/>
          <w:w w:val="115"/>
          <w:sz w:val="20"/>
        </w:rPr>
        <w:t> </w:t>
      </w:r>
      <w:r>
        <w:rPr>
          <w:w w:val="115"/>
          <w:sz w:val="20"/>
        </w:rPr>
        <w:t>lege,</w:t>
      </w:r>
      <w:r>
        <w:rPr>
          <w:spacing w:val="-4"/>
          <w:w w:val="115"/>
          <w:sz w:val="20"/>
        </w:rPr>
        <w:t> </w:t>
      </w:r>
      <w:r>
        <w:rPr>
          <w:w w:val="115"/>
          <w:sz w:val="20"/>
        </w:rPr>
        <w:t>se</w:t>
      </w:r>
      <w:r>
        <w:rPr>
          <w:spacing w:val="-5"/>
          <w:w w:val="115"/>
          <w:sz w:val="20"/>
        </w:rPr>
        <w:t> </w:t>
      </w:r>
      <w:r>
        <w:rPr>
          <w:w w:val="115"/>
          <w:sz w:val="20"/>
        </w:rPr>
        <w:t>emite</w:t>
      </w:r>
      <w:r>
        <w:rPr>
          <w:spacing w:val="-4"/>
          <w:w w:val="115"/>
          <w:sz w:val="20"/>
        </w:rPr>
        <w:t> </w:t>
      </w:r>
      <w:r>
        <w:rPr>
          <w:w w:val="115"/>
          <w:sz w:val="20"/>
        </w:rPr>
        <w:t>de</w:t>
      </w:r>
      <w:r>
        <w:rPr>
          <w:spacing w:val="-5"/>
          <w:w w:val="115"/>
          <w:sz w:val="20"/>
        </w:rPr>
        <w:t> </w:t>
      </w:r>
      <w:r>
        <w:rPr>
          <w:w w:val="115"/>
          <w:sz w:val="20"/>
        </w:rPr>
        <w:t>către</w:t>
      </w:r>
      <w:r>
        <w:rPr>
          <w:spacing w:val="-4"/>
          <w:w w:val="115"/>
          <w:sz w:val="20"/>
        </w:rPr>
        <w:t> </w:t>
      </w:r>
      <w:r>
        <w:rPr>
          <w:w w:val="115"/>
          <w:sz w:val="20"/>
        </w:rPr>
        <w:t>primarul</w:t>
      </w:r>
      <w:r>
        <w:rPr>
          <w:spacing w:val="-4"/>
          <w:w w:val="115"/>
          <w:sz w:val="20"/>
        </w:rPr>
        <w:t> </w:t>
      </w:r>
      <w:r>
        <w:rPr>
          <w:w w:val="115"/>
          <w:sz w:val="20"/>
        </w:rPr>
        <w:t>în</w:t>
      </w:r>
      <w:r>
        <w:rPr>
          <w:spacing w:val="-5"/>
          <w:w w:val="115"/>
          <w:sz w:val="20"/>
        </w:rPr>
        <w:t> </w:t>
      </w:r>
      <w:r>
        <w:rPr>
          <w:w w:val="115"/>
          <w:sz w:val="20"/>
        </w:rPr>
        <w:t>a</w:t>
      </w:r>
      <w:r>
        <w:rPr>
          <w:spacing w:val="-4"/>
          <w:w w:val="115"/>
          <w:sz w:val="20"/>
        </w:rPr>
        <w:t> </w:t>
      </w:r>
      <w:r>
        <w:rPr>
          <w:w w:val="115"/>
          <w:sz w:val="20"/>
        </w:rPr>
        <w:t>cărui</w:t>
      </w:r>
      <w:r>
        <w:rPr>
          <w:spacing w:val="-5"/>
          <w:w w:val="115"/>
          <w:sz w:val="20"/>
        </w:rPr>
        <w:t> </w:t>
      </w:r>
      <w:r>
        <w:rPr>
          <w:w w:val="115"/>
          <w:sz w:val="20"/>
        </w:rPr>
        <w:t>rază</w:t>
      </w:r>
      <w:r>
        <w:rPr>
          <w:spacing w:val="-4"/>
          <w:w w:val="115"/>
          <w:sz w:val="20"/>
        </w:rPr>
        <w:t> </w:t>
      </w:r>
      <w:r>
        <w:rPr>
          <w:w w:val="115"/>
          <w:sz w:val="20"/>
        </w:rPr>
        <w:t>de</w:t>
      </w:r>
      <w:r>
        <w:rPr>
          <w:spacing w:val="-4"/>
          <w:w w:val="115"/>
          <w:sz w:val="20"/>
        </w:rPr>
        <w:t> </w:t>
      </w:r>
      <w:r>
        <w:rPr>
          <w:w w:val="115"/>
          <w:sz w:val="20"/>
        </w:rPr>
        <w:t>competenţă</w:t>
      </w:r>
      <w:r>
        <w:rPr>
          <w:spacing w:val="-5"/>
          <w:w w:val="115"/>
          <w:sz w:val="20"/>
        </w:rPr>
        <w:t> </w:t>
      </w:r>
      <w:r>
        <w:rPr>
          <w:w w:val="115"/>
          <w:sz w:val="20"/>
        </w:rPr>
        <w:t>se</w:t>
      </w:r>
      <w:r>
        <w:rPr>
          <w:spacing w:val="-4"/>
          <w:w w:val="115"/>
          <w:sz w:val="20"/>
        </w:rPr>
        <w:t> </w:t>
      </w:r>
      <w:r>
        <w:rPr>
          <w:w w:val="115"/>
          <w:sz w:val="20"/>
        </w:rPr>
        <w:t>află sediul sau punctul de</w:t>
      </w:r>
      <w:r>
        <w:rPr>
          <w:spacing w:val="-4"/>
          <w:w w:val="115"/>
          <w:sz w:val="20"/>
        </w:rPr>
        <w:t> </w:t>
      </w:r>
      <w:r>
        <w:rPr>
          <w:w w:val="115"/>
          <w:sz w:val="20"/>
        </w:rPr>
        <w:t>lucru.</w:t>
      </w:r>
    </w:p>
    <w:p>
      <w:pPr>
        <w:pStyle w:val="ListParagraph"/>
        <w:numPr>
          <w:ilvl w:val="2"/>
          <w:numId w:val="18"/>
        </w:numPr>
        <w:tabs>
          <w:tab w:pos="449" w:val="left" w:leader="none"/>
        </w:tabs>
        <w:spacing w:line="271" w:lineRule="auto" w:before="109" w:after="0"/>
        <w:ind w:left="108" w:right="121" w:firstLine="0"/>
        <w:jc w:val="both"/>
        <w:rPr>
          <w:sz w:val="20"/>
        </w:rPr>
      </w:pPr>
      <w:r>
        <w:rPr>
          <w:w w:val="115"/>
          <w:sz w:val="20"/>
        </w:rPr>
        <w:t>Taxa</w:t>
      </w:r>
      <w:r>
        <w:rPr>
          <w:spacing w:val="-4"/>
          <w:w w:val="115"/>
          <w:sz w:val="20"/>
        </w:rPr>
        <w:t> </w:t>
      </w:r>
      <w:r>
        <w:rPr>
          <w:w w:val="115"/>
          <w:sz w:val="20"/>
        </w:rPr>
        <w:t>pentru</w:t>
      </w:r>
      <w:r>
        <w:rPr>
          <w:spacing w:val="-4"/>
          <w:w w:val="115"/>
          <w:sz w:val="20"/>
        </w:rPr>
        <w:t> </w:t>
      </w:r>
      <w:r>
        <w:rPr>
          <w:w w:val="115"/>
          <w:sz w:val="20"/>
        </w:rPr>
        <w:t>eliberarea</w:t>
      </w:r>
      <w:r>
        <w:rPr>
          <w:spacing w:val="-3"/>
          <w:w w:val="115"/>
          <w:sz w:val="20"/>
        </w:rPr>
        <w:t> </w:t>
      </w:r>
      <w:r>
        <w:rPr>
          <w:w w:val="115"/>
          <w:sz w:val="20"/>
        </w:rPr>
        <w:t>autorizatiilor</w:t>
      </w:r>
      <w:r>
        <w:rPr>
          <w:spacing w:val="-4"/>
          <w:w w:val="115"/>
          <w:sz w:val="20"/>
        </w:rPr>
        <w:t> </w:t>
      </w:r>
      <w:r>
        <w:rPr>
          <w:w w:val="115"/>
          <w:sz w:val="20"/>
        </w:rPr>
        <w:t>sanitare</w:t>
      </w:r>
      <w:r>
        <w:rPr>
          <w:spacing w:val="-3"/>
          <w:w w:val="115"/>
          <w:sz w:val="20"/>
        </w:rPr>
        <w:t> </w:t>
      </w:r>
      <w:r>
        <w:rPr>
          <w:w w:val="115"/>
          <w:sz w:val="20"/>
        </w:rPr>
        <w:t>de</w:t>
      </w:r>
      <w:r>
        <w:rPr>
          <w:spacing w:val="-4"/>
          <w:w w:val="115"/>
          <w:sz w:val="20"/>
        </w:rPr>
        <w:t> </w:t>
      </w:r>
      <w:r>
        <w:rPr>
          <w:w w:val="115"/>
          <w:sz w:val="20"/>
        </w:rPr>
        <w:t>functionare</w:t>
      </w:r>
      <w:r>
        <w:rPr>
          <w:spacing w:val="-4"/>
          <w:w w:val="115"/>
          <w:sz w:val="20"/>
        </w:rPr>
        <w:t> </w:t>
      </w:r>
      <w:r>
        <w:rPr>
          <w:w w:val="115"/>
          <w:sz w:val="20"/>
        </w:rPr>
        <w:t>eliberate</w:t>
      </w:r>
      <w:r>
        <w:rPr>
          <w:spacing w:val="-3"/>
          <w:w w:val="115"/>
          <w:sz w:val="20"/>
        </w:rPr>
        <w:t> </w:t>
      </w:r>
      <w:r>
        <w:rPr>
          <w:w w:val="115"/>
          <w:sz w:val="20"/>
        </w:rPr>
        <w:t>de</w:t>
      </w:r>
      <w:r>
        <w:rPr>
          <w:spacing w:val="-4"/>
          <w:w w:val="115"/>
          <w:sz w:val="20"/>
        </w:rPr>
        <w:t> </w:t>
      </w:r>
      <w:r>
        <w:rPr>
          <w:w w:val="115"/>
          <w:sz w:val="20"/>
        </w:rPr>
        <w:t>Direcția</w:t>
      </w:r>
      <w:r>
        <w:rPr>
          <w:spacing w:val="-3"/>
          <w:w w:val="115"/>
          <w:sz w:val="20"/>
        </w:rPr>
        <w:t> </w:t>
      </w:r>
      <w:r>
        <w:rPr>
          <w:w w:val="115"/>
          <w:sz w:val="20"/>
        </w:rPr>
        <w:t>de</w:t>
      </w:r>
      <w:r>
        <w:rPr>
          <w:spacing w:val="-4"/>
          <w:w w:val="115"/>
          <w:sz w:val="20"/>
        </w:rPr>
        <w:t> </w:t>
      </w:r>
      <w:r>
        <w:rPr>
          <w:w w:val="115"/>
          <w:sz w:val="20"/>
        </w:rPr>
        <w:t>Sănătate</w:t>
      </w:r>
      <w:r>
        <w:rPr>
          <w:spacing w:val="-3"/>
          <w:w w:val="115"/>
          <w:sz w:val="20"/>
        </w:rPr>
        <w:t> </w:t>
      </w:r>
      <w:r>
        <w:rPr>
          <w:w w:val="115"/>
          <w:sz w:val="20"/>
        </w:rPr>
        <w:t>Publică este de 17</w:t>
      </w:r>
      <w:r>
        <w:rPr>
          <w:spacing w:val="-3"/>
          <w:w w:val="115"/>
          <w:sz w:val="20"/>
        </w:rPr>
        <w:t> </w:t>
      </w:r>
      <w:r>
        <w:rPr>
          <w:w w:val="115"/>
          <w:sz w:val="20"/>
        </w:rPr>
        <w:t>lei.</w:t>
      </w:r>
    </w:p>
    <w:p>
      <w:pPr>
        <w:spacing w:before="102"/>
        <w:ind w:left="108" w:right="0" w:firstLine="0"/>
        <w:jc w:val="both"/>
        <w:rPr>
          <w:rFonts w:ascii="Arial" w:hAnsi="Arial"/>
          <w:i/>
          <w:sz w:val="21"/>
        </w:rPr>
      </w:pPr>
      <w:r>
        <w:rPr>
          <w:rFonts w:ascii="Arial" w:hAnsi="Arial"/>
          <w:i/>
          <w:w w:val="105"/>
          <w:sz w:val="21"/>
        </w:rPr>
        <w:t>(1) Sunt scutite de taxa pentru eliberarea certificatelor, avizelor şi autorizaţiilor următoarele:</w:t>
      </w:r>
    </w:p>
    <w:p>
      <w:pPr>
        <w:pStyle w:val="ListParagraph"/>
        <w:numPr>
          <w:ilvl w:val="0"/>
          <w:numId w:val="24"/>
        </w:numPr>
        <w:tabs>
          <w:tab w:pos="369" w:val="left" w:leader="none"/>
        </w:tabs>
        <w:spacing w:line="271" w:lineRule="auto" w:before="149" w:after="0"/>
        <w:ind w:left="108" w:right="112" w:firstLine="0"/>
        <w:jc w:val="both"/>
        <w:rPr>
          <w:sz w:val="20"/>
        </w:rPr>
      </w:pPr>
      <w:r>
        <w:rPr>
          <w:w w:val="115"/>
          <w:sz w:val="20"/>
        </w:rPr>
        <w:t>certificatele, avizele şi autorizaţiile ai căror beneficiari sunt veterani de război, văduve de război sau văduve nerecăsătorite ale veteranilor de</w:t>
      </w:r>
      <w:r>
        <w:rPr>
          <w:spacing w:val="-8"/>
          <w:w w:val="115"/>
          <w:sz w:val="20"/>
        </w:rPr>
        <w:t> </w:t>
      </w:r>
      <w:r>
        <w:rPr>
          <w:w w:val="115"/>
          <w:sz w:val="20"/>
        </w:rPr>
        <w:t>război;</w:t>
      </w:r>
    </w:p>
    <w:p>
      <w:pPr>
        <w:pStyle w:val="ListParagraph"/>
        <w:numPr>
          <w:ilvl w:val="0"/>
          <w:numId w:val="24"/>
        </w:numPr>
        <w:tabs>
          <w:tab w:pos="352" w:val="left" w:leader="none"/>
        </w:tabs>
        <w:spacing w:line="271" w:lineRule="auto" w:before="108" w:after="0"/>
        <w:ind w:left="108" w:right="114" w:firstLine="0"/>
        <w:jc w:val="both"/>
        <w:rPr>
          <w:sz w:val="20"/>
        </w:rPr>
      </w:pPr>
      <w:hyperlink r:id="rId17">
        <w:r>
          <w:rPr>
            <w:w w:val="115"/>
            <w:sz w:val="20"/>
          </w:rPr>
          <w:t>certificatele, avizele şi autorizaţiile ai căror beneficiari sunt persoanele prevăzute la art. 1 </w:t>
        </w:r>
        <w:r>
          <w:rPr>
            <w:spacing w:val="-10"/>
            <w:w w:val="115"/>
            <w:sz w:val="20"/>
          </w:rPr>
          <w:t>din</w:t>
        </w:r>
        <w:r>
          <w:rPr>
            <w:color w:val="3DA7F6"/>
            <w:spacing w:val="-10"/>
            <w:w w:val="115"/>
            <w:sz w:val="20"/>
            <w:u w:val="single" w:color="3DA7F6"/>
          </w:rPr>
          <w:t> </w:t>
        </w:r>
        <w:r>
          <w:rPr>
            <w:color w:val="3DA7F6"/>
            <w:w w:val="115"/>
            <w:sz w:val="20"/>
            <w:u w:val="single" w:color="3DA7F6"/>
          </w:rPr>
          <w:t>Decretul- lege nr. 118/1990,</w:t>
        </w:r>
        <w:r>
          <w:rPr>
            <w:color w:val="3DA7F6"/>
            <w:w w:val="115"/>
            <w:sz w:val="20"/>
          </w:rPr>
          <w:t> </w:t>
        </w:r>
        <w:r>
          <w:rPr>
            <w:w w:val="115"/>
            <w:sz w:val="20"/>
          </w:rPr>
          <w:t>republicat, cu modificările şi completările</w:t>
        </w:r>
        <w:r>
          <w:rPr>
            <w:spacing w:val="-30"/>
            <w:w w:val="115"/>
            <w:sz w:val="20"/>
          </w:rPr>
          <w:t> </w:t>
        </w:r>
        <w:r>
          <w:rPr>
            <w:w w:val="115"/>
            <w:sz w:val="20"/>
          </w:rPr>
          <w:t>ulterioare;</w:t>
        </w:r>
      </w:hyperlink>
    </w:p>
    <w:p>
      <w:pPr>
        <w:pStyle w:val="ListParagraph"/>
        <w:numPr>
          <w:ilvl w:val="0"/>
          <w:numId w:val="24"/>
        </w:numPr>
        <w:tabs>
          <w:tab w:pos="329" w:val="left" w:leader="none"/>
        </w:tabs>
        <w:spacing w:line="240" w:lineRule="auto" w:before="109" w:after="0"/>
        <w:ind w:left="328" w:right="0" w:hanging="220"/>
        <w:jc w:val="both"/>
        <w:rPr>
          <w:sz w:val="20"/>
        </w:rPr>
      </w:pPr>
      <w:r>
        <w:rPr>
          <w:w w:val="115"/>
          <w:sz w:val="20"/>
        </w:rPr>
        <w:t>certificatele</w:t>
      </w:r>
      <w:r>
        <w:rPr>
          <w:spacing w:val="-6"/>
          <w:w w:val="115"/>
          <w:sz w:val="20"/>
        </w:rPr>
        <w:t> </w:t>
      </w:r>
      <w:r>
        <w:rPr>
          <w:w w:val="115"/>
          <w:sz w:val="20"/>
        </w:rPr>
        <w:t>de</w:t>
      </w:r>
      <w:r>
        <w:rPr>
          <w:spacing w:val="-6"/>
          <w:w w:val="115"/>
          <w:sz w:val="20"/>
        </w:rPr>
        <w:t> </w:t>
      </w:r>
      <w:r>
        <w:rPr>
          <w:w w:val="115"/>
          <w:sz w:val="20"/>
        </w:rPr>
        <w:t>urbanism</w:t>
      </w:r>
      <w:r>
        <w:rPr>
          <w:spacing w:val="-5"/>
          <w:w w:val="115"/>
          <w:sz w:val="20"/>
        </w:rPr>
        <w:t> </w:t>
      </w:r>
      <w:r>
        <w:rPr>
          <w:w w:val="115"/>
          <w:sz w:val="20"/>
        </w:rPr>
        <w:t>şi</w:t>
      </w:r>
      <w:r>
        <w:rPr>
          <w:spacing w:val="-6"/>
          <w:w w:val="115"/>
          <w:sz w:val="20"/>
        </w:rPr>
        <w:t> </w:t>
      </w:r>
      <w:r>
        <w:rPr>
          <w:w w:val="115"/>
          <w:sz w:val="20"/>
        </w:rPr>
        <w:t>autorizaţiile</w:t>
      </w:r>
      <w:r>
        <w:rPr>
          <w:spacing w:val="-5"/>
          <w:w w:val="115"/>
          <w:sz w:val="20"/>
        </w:rPr>
        <w:t> </w:t>
      </w:r>
      <w:r>
        <w:rPr>
          <w:w w:val="115"/>
          <w:sz w:val="20"/>
        </w:rPr>
        <w:t>de</w:t>
      </w:r>
      <w:r>
        <w:rPr>
          <w:spacing w:val="-6"/>
          <w:w w:val="115"/>
          <w:sz w:val="20"/>
        </w:rPr>
        <w:t> </w:t>
      </w:r>
      <w:r>
        <w:rPr>
          <w:w w:val="115"/>
          <w:sz w:val="20"/>
        </w:rPr>
        <w:t>construire</w:t>
      </w:r>
      <w:r>
        <w:rPr>
          <w:spacing w:val="-5"/>
          <w:w w:val="115"/>
          <w:sz w:val="20"/>
        </w:rPr>
        <w:t> </w:t>
      </w:r>
      <w:r>
        <w:rPr>
          <w:w w:val="115"/>
          <w:sz w:val="20"/>
        </w:rPr>
        <w:t>pentru</w:t>
      </w:r>
      <w:r>
        <w:rPr>
          <w:spacing w:val="-6"/>
          <w:w w:val="115"/>
          <w:sz w:val="20"/>
        </w:rPr>
        <w:t> </w:t>
      </w:r>
      <w:r>
        <w:rPr>
          <w:w w:val="115"/>
          <w:sz w:val="20"/>
        </w:rPr>
        <w:t>lăcaşuri</w:t>
      </w:r>
      <w:r>
        <w:rPr>
          <w:spacing w:val="-6"/>
          <w:w w:val="115"/>
          <w:sz w:val="20"/>
        </w:rPr>
        <w:t> </w:t>
      </w:r>
      <w:r>
        <w:rPr>
          <w:w w:val="115"/>
          <w:sz w:val="20"/>
        </w:rPr>
        <w:t>de</w:t>
      </w:r>
      <w:r>
        <w:rPr>
          <w:spacing w:val="-5"/>
          <w:w w:val="115"/>
          <w:sz w:val="20"/>
        </w:rPr>
        <w:t> </w:t>
      </w:r>
      <w:r>
        <w:rPr>
          <w:w w:val="115"/>
          <w:sz w:val="20"/>
        </w:rPr>
        <w:t>cult</w:t>
      </w:r>
      <w:r>
        <w:rPr>
          <w:spacing w:val="-6"/>
          <w:w w:val="115"/>
          <w:sz w:val="20"/>
        </w:rPr>
        <w:t> </w:t>
      </w:r>
      <w:r>
        <w:rPr>
          <w:w w:val="115"/>
          <w:sz w:val="20"/>
        </w:rPr>
        <w:t>sau</w:t>
      </w:r>
      <w:r>
        <w:rPr>
          <w:spacing w:val="-5"/>
          <w:w w:val="115"/>
          <w:sz w:val="20"/>
        </w:rPr>
        <w:t> </w:t>
      </w:r>
      <w:r>
        <w:rPr>
          <w:w w:val="115"/>
          <w:sz w:val="20"/>
        </w:rPr>
        <w:t>construcţii-anexă;</w:t>
      </w:r>
    </w:p>
    <w:p>
      <w:pPr>
        <w:pStyle w:val="ListParagraph"/>
        <w:numPr>
          <w:ilvl w:val="0"/>
          <w:numId w:val="24"/>
        </w:numPr>
        <w:tabs>
          <w:tab w:pos="437" w:val="left" w:leader="none"/>
        </w:tabs>
        <w:spacing w:line="271" w:lineRule="auto" w:before="140" w:after="0"/>
        <w:ind w:left="108" w:right="116" w:firstLine="0"/>
        <w:jc w:val="both"/>
        <w:rPr>
          <w:sz w:val="20"/>
        </w:rPr>
      </w:pPr>
      <w:r>
        <w:rPr>
          <w:w w:val="115"/>
          <w:sz w:val="20"/>
        </w:rPr>
        <w:t>certificatele de urbanism şi autorizaţiile de construire pentru dezvoltarea, modernizarea sau reabilitarea infrastructurilor din transporturi care aparţin domeniului public al</w:t>
      </w:r>
      <w:r>
        <w:rPr>
          <w:spacing w:val="-26"/>
          <w:w w:val="115"/>
          <w:sz w:val="20"/>
        </w:rPr>
        <w:t> </w:t>
      </w:r>
      <w:r>
        <w:rPr>
          <w:w w:val="115"/>
          <w:sz w:val="20"/>
        </w:rPr>
        <w:t>statului;</w:t>
      </w:r>
    </w:p>
    <w:p>
      <w:pPr>
        <w:pStyle w:val="ListParagraph"/>
        <w:numPr>
          <w:ilvl w:val="0"/>
          <w:numId w:val="24"/>
        </w:numPr>
        <w:tabs>
          <w:tab w:pos="396" w:val="left" w:leader="none"/>
        </w:tabs>
        <w:spacing w:line="271" w:lineRule="auto" w:before="108" w:after="0"/>
        <w:ind w:left="108" w:right="110" w:firstLine="0"/>
        <w:jc w:val="both"/>
        <w:rPr>
          <w:sz w:val="20"/>
        </w:rPr>
      </w:pPr>
      <w:r>
        <w:rPr>
          <w:w w:val="115"/>
          <w:sz w:val="20"/>
        </w:rPr>
        <w:t>certificatele de urbanism şi autorizaţiile de construire pentru lucrările de interes public naţional, judeţean sau</w:t>
      </w:r>
      <w:r>
        <w:rPr>
          <w:spacing w:val="-2"/>
          <w:w w:val="115"/>
          <w:sz w:val="20"/>
        </w:rPr>
        <w:t> </w:t>
      </w:r>
      <w:r>
        <w:rPr>
          <w:w w:val="115"/>
          <w:sz w:val="20"/>
        </w:rPr>
        <w:t>local;</w:t>
      </w:r>
    </w:p>
    <w:p>
      <w:pPr>
        <w:pStyle w:val="ListParagraph"/>
        <w:numPr>
          <w:ilvl w:val="0"/>
          <w:numId w:val="24"/>
        </w:numPr>
        <w:tabs>
          <w:tab w:pos="326" w:val="left" w:leader="none"/>
        </w:tabs>
        <w:spacing w:line="271" w:lineRule="auto" w:before="109" w:after="0"/>
        <w:ind w:left="108" w:right="115" w:firstLine="0"/>
        <w:jc w:val="both"/>
        <w:rPr>
          <w:sz w:val="20"/>
        </w:rPr>
      </w:pPr>
      <w:r>
        <w:rPr>
          <w:w w:val="115"/>
          <w:sz w:val="20"/>
        </w:rPr>
        <w:t>certificatele de urbanism şi autorizaţiile de construire, dacă beneficiarul construcţiei este o instituţie publică;</w:t>
      </w:r>
    </w:p>
    <w:p>
      <w:pPr>
        <w:pStyle w:val="ListParagraph"/>
        <w:numPr>
          <w:ilvl w:val="0"/>
          <w:numId w:val="24"/>
        </w:numPr>
        <w:tabs>
          <w:tab w:pos="329" w:val="left" w:leader="none"/>
        </w:tabs>
        <w:spacing w:line="240" w:lineRule="auto" w:before="108" w:after="0"/>
        <w:ind w:left="328" w:right="0" w:hanging="220"/>
        <w:jc w:val="both"/>
        <w:rPr>
          <w:sz w:val="20"/>
        </w:rPr>
      </w:pPr>
      <w:r>
        <w:rPr>
          <w:w w:val="115"/>
          <w:sz w:val="20"/>
        </w:rPr>
        <w:t>autorizaţiile</w:t>
      </w:r>
      <w:r>
        <w:rPr>
          <w:spacing w:val="-9"/>
          <w:w w:val="115"/>
          <w:sz w:val="20"/>
        </w:rPr>
        <w:t> </w:t>
      </w:r>
      <w:r>
        <w:rPr>
          <w:w w:val="115"/>
          <w:sz w:val="20"/>
        </w:rPr>
        <w:t>de</w:t>
      </w:r>
      <w:r>
        <w:rPr>
          <w:spacing w:val="-8"/>
          <w:w w:val="115"/>
          <w:sz w:val="20"/>
        </w:rPr>
        <w:t> </w:t>
      </w:r>
      <w:r>
        <w:rPr>
          <w:w w:val="115"/>
          <w:sz w:val="20"/>
        </w:rPr>
        <w:t>construire</w:t>
      </w:r>
      <w:r>
        <w:rPr>
          <w:spacing w:val="-9"/>
          <w:w w:val="115"/>
          <w:sz w:val="20"/>
        </w:rPr>
        <w:t> </w:t>
      </w:r>
      <w:r>
        <w:rPr>
          <w:w w:val="115"/>
          <w:sz w:val="20"/>
        </w:rPr>
        <w:t>pentru</w:t>
      </w:r>
      <w:r>
        <w:rPr>
          <w:spacing w:val="-8"/>
          <w:w w:val="115"/>
          <w:sz w:val="20"/>
        </w:rPr>
        <w:t> </w:t>
      </w:r>
      <w:r>
        <w:rPr>
          <w:w w:val="115"/>
          <w:sz w:val="20"/>
        </w:rPr>
        <w:t>autostrăzile</w:t>
      </w:r>
      <w:r>
        <w:rPr>
          <w:spacing w:val="-8"/>
          <w:w w:val="115"/>
          <w:sz w:val="20"/>
        </w:rPr>
        <w:t> </w:t>
      </w:r>
      <w:r>
        <w:rPr>
          <w:w w:val="115"/>
          <w:sz w:val="20"/>
        </w:rPr>
        <w:t>şi</w:t>
      </w:r>
      <w:r>
        <w:rPr>
          <w:spacing w:val="-9"/>
          <w:w w:val="115"/>
          <w:sz w:val="20"/>
        </w:rPr>
        <w:t> </w:t>
      </w:r>
      <w:r>
        <w:rPr>
          <w:w w:val="115"/>
          <w:sz w:val="20"/>
        </w:rPr>
        <w:t>căile</w:t>
      </w:r>
      <w:r>
        <w:rPr>
          <w:spacing w:val="-8"/>
          <w:w w:val="115"/>
          <w:sz w:val="20"/>
        </w:rPr>
        <w:t> </w:t>
      </w:r>
      <w:r>
        <w:rPr>
          <w:w w:val="115"/>
          <w:sz w:val="20"/>
        </w:rPr>
        <w:t>ferate</w:t>
      </w:r>
      <w:r>
        <w:rPr>
          <w:spacing w:val="-9"/>
          <w:w w:val="115"/>
          <w:sz w:val="20"/>
        </w:rPr>
        <w:t> </w:t>
      </w:r>
      <w:r>
        <w:rPr>
          <w:w w:val="115"/>
          <w:sz w:val="20"/>
        </w:rPr>
        <w:t>atribuite</w:t>
      </w:r>
      <w:r>
        <w:rPr>
          <w:spacing w:val="-8"/>
          <w:w w:val="115"/>
          <w:sz w:val="20"/>
        </w:rPr>
        <w:t> </w:t>
      </w:r>
      <w:r>
        <w:rPr>
          <w:w w:val="115"/>
          <w:sz w:val="20"/>
        </w:rPr>
        <w:t>prin</w:t>
      </w:r>
      <w:r>
        <w:rPr>
          <w:spacing w:val="-8"/>
          <w:w w:val="115"/>
          <w:sz w:val="20"/>
        </w:rPr>
        <w:t> </w:t>
      </w:r>
      <w:r>
        <w:rPr>
          <w:w w:val="115"/>
          <w:sz w:val="20"/>
        </w:rPr>
        <w:t>concesionare,</w:t>
      </w:r>
      <w:r>
        <w:rPr>
          <w:spacing w:val="-9"/>
          <w:w w:val="115"/>
          <w:sz w:val="20"/>
        </w:rPr>
        <w:t> </w:t>
      </w:r>
      <w:r>
        <w:rPr>
          <w:w w:val="115"/>
          <w:sz w:val="20"/>
        </w:rPr>
        <w:t>conform</w:t>
      </w:r>
      <w:r>
        <w:rPr>
          <w:spacing w:val="-8"/>
          <w:w w:val="115"/>
          <w:sz w:val="20"/>
        </w:rPr>
        <w:t> </w:t>
      </w:r>
      <w:r>
        <w:rPr>
          <w:w w:val="115"/>
          <w:sz w:val="20"/>
        </w:rPr>
        <w:t>legii;</w:t>
      </w:r>
    </w:p>
    <w:p>
      <w:pPr>
        <w:pStyle w:val="ListParagraph"/>
        <w:numPr>
          <w:ilvl w:val="0"/>
          <w:numId w:val="24"/>
        </w:numPr>
        <w:tabs>
          <w:tab w:pos="368" w:val="left" w:leader="none"/>
        </w:tabs>
        <w:spacing w:line="271" w:lineRule="auto" w:before="140" w:after="0"/>
        <w:ind w:left="108" w:right="115" w:firstLine="0"/>
        <w:jc w:val="both"/>
        <w:rPr>
          <w:sz w:val="20"/>
        </w:rPr>
      </w:pPr>
      <w:r>
        <w:rPr>
          <w:w w:val="115"/>
          <w:sz w:val="20"/>
        </w:rPr>
        <w:t>certificatele de urbanism şi autorizaţiile de construire, dacă beneficiarul construcţiei este o instituţie sau o unitate care funcţionează sub coordonarea Ministerului Educaţiei şi Cercetării Ştiinţifice sau a Ministerului Tineretului şi</w:t>
      </w:r>
      <w:r>
        <w:rPr>
          <w:spacing w:val="-4"/>
          <w:w w:val="115"/>
          <w:sz w:val="20"/>
        </w:rPr>
        <w:t> </w:t>
      </w:r>
      <w:r>
        <w:rPr>
          <w:w w:val="115"/>
          <w:sz w:val="20"/>
        </w:rPr>
        <w:t>Sportului;</w:t>
      </w:r>
    </w:p>
    <w:p>
      <w:pPr>
        <w:pStyle w:val="ListParagraph"/>
        <w:numPr>
          <w:ilvl w:val="0"/>
          <w:numId w:val="24"/>
        </w:numPr>
        <w:tabs>
          <w:tab w:pos="329" w:val="left" w:leader="none"/>
        </w:tabs>
        <w:spacing w:line="271" w:lineRule="auto" w:before="109" w:after="0"/>
        <w:ind w:left="108" w:right="112" w:firstLine="0"/>
        <w:jc w:val="both"/>
        <w:rPr>
          <w:sz w:val="20"/>
        </w:rPr>
      </w:pPr>
      <w:r>
        <w:rPr>
          <w:w w:val="115"/>
          <w:sz w:val="20"/>
        </w:rPr>
        <w:t>certificat de urbanism sau autorizaţie de construire, dacă beneficiarul construcţiei este o fundaţie înfiinţată prin testament, constituită conform legii, cu scopul de a întreţine, dezvolta şi ajuta instituţii</w:t>
      </w:r>
      <w:r>
        <w:rPr>
          <w:spacing w:val="43"/>
          <w:w w:val="115"/>
          <w:sz w:val="20"/>
        </w:rPr>
        <w:t> </w:t>
      </w:r>
      <w:r>
        <w:rPr>
          <w:w w:val="115"/>
          <w:sz w:val="20"/>
        </w:rPr>
        <w:t>de</w:t>
      </w:r>
    </w:p>
    <w:p>
      <w:pPr>
        <w:spacing w:after="0" w:line="271" w:lineRule="auto"/>
        <w:jc w:val="both"/>
        <w:rPr>
          <w:sz w:val="20"/>
        </w:rPr>
        <w:sectPr>
          <w:pgSz w:w="11900" w:h="16840"/>
          <w:pgMar w:header="0" w:footer="280" w:top="500" w:bottom="560" w:left="1140" w:right="740"/>
        </w:sectPr>
      </w:pPr>
    </w:p>
    <w:p>
      <w:pPr>
        <w:pStyle w:val="BodyText"/>
        <w:spacing w:before="100"/>
        <w:ind w:left="107"/>
      </w:pPr>
      <w:r>
        <w:rPr>
          <w:w w:val="115"/>
        </w:rPr>
        <w:t>cultură naţională, precum şi de a susţine acţiuni cu caracter umanitar, social şi cultural;</w:t>
      </w:r>
    </w:p>
    <w:p>
      <w:pPr>
        <w:pStyle w:val="ListParagraph"/>
        <w:numPr>
          <w:ilvl w:val="0"/>
          <w:numId w:val="24"/>
        </w:numPr>
        <w:tabs>
          <w:tab w:pos="310" w:val="left" w:leader="none"/>
        </w:tabs>
        <w:spacing w:line="271" w:lineRule="auto" w:before="140" w:after="0"/>
        <w:ind w:left="108" w:right="107" w:firstLine="0"/>
        <w:jc w:val="both"/>
        <w:rPr>
          <w:sz w:val="20"/>
        </w:rPr>
      </w:pPr>
      <w:r>
        <w:rPr>
          <w:w w:val="115"/>
          <w:sz w:val="20"/>
        </w:rP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w:t>
      </w:r>
      <w:r>
        <w:rPr>
          <w:spacing w:val="-8"/>
          <w:w w:val="115"/>
          <w:sz w:val="20"/>
        </w:rPr>
        <w:t> </w:t>
      </w:r>
      <w:r>
        <w:rPr>
          <w:w w:val="115"/>
          <w:sz w:val="20"/>
        </w:rPr>
        <w:t>legii;</w:t>
      </w:r>
    </w:p>
    <w:p>
      <w:pPr>
        <w:pStyle w:val="ListParagraph"/>
        <w:numPr>
          <w:ilvl w:val="0"/>
          <w:numId w:val="24"/>
        </w:numPr>
        <w:tabs>
          <w:tab w:pos="345" w:val="left" w:leader="none"/>
        </w:tabs>
        <w:spacing w:line="240" w:lineRule="auto" w:before="110" w:after="0"/>
        <w:ind w:left="344" w:right="0" w:hanging="236"/>
        <w:jc w:val="both"/>
        <w:rPr>
          <w:sz w:val="20"/>
        </w:rPr>
      </w:pPr>
      <w:r>
        <w:rPr>
          <w:w w:val="115"/>
          <w:sz w:val="20"/>
        </w:rPr>
        <w:t>certificat de urbanism sau autorizaţie de construire, în cazul unei calamităţi</w:t>
      </w:r>
      <w:r>
        <w:rPr>
          <w:spacing w:val="-33"/>
          <w:w w:val="115"/>
          <w:sz w:val="20"/>
        </w:rPr>
        <w:t> </w:t>
      </w:r>
      <w:r>
        <w:rPr>
          <w:w w:val="115"/>
          <w:sz w:val="20"/>
        </w:rPr>
        <w:t>naturale.</w:t>
      </w:r>
    </w:p>
    <w:p>
      <w:pPr>
        <w:pStyle w:val="Heading2"/>
        <w:spacing w:before="142"/>
        <w:ind w:left="574"/>
      </w:pPr>
      <w:r>
        <w:rPr/>
        <w:t>SCUTIRI</w:t>
      </w:r>
    </w:p>
    <w:p>
      <w:pPr>
        <w:pStyle w:val="ListParagraph"/>
        <w:numPr>
          <w:ilvl w:val="1"/>
          <w:numId w:val="24"/>
        </w:numPr>
        <w:tabs>
          <w:tab w:pos="914" w:val="left" w:leader="none"/>
        </w:tabs>
        <w:spacing w:line="271" w:lineRule="auto" w:before="145" w:after="0"/>
        <w:ind w:left="108" w:right="117" w:firstLine="571"/>
        <w:jc w:val="both"/>
        <w:rPr>
          <w:sz w:val="20"/>
        </w:rPr>
      </w:pPr>
      <w:r>
        <w:rPr>
          <w:w w:val="115"/>
          <w:sz w:val="20"/>
        </w:rPr>
        <w:t>Consiliul local acordă </w:t>
      </w:r>
      <w:r>
        <w:rPr>
          <w:rFonts w:ascii="Arial" w:hAnsi="Arial"/>
          <w:i/>
          <w:w w:val="115"/>
          <w:sz w:val="21"/>
        </w:rPr>
        <w:t>scutirea </w:t>
      </w:r>
      <w:r>
        <w:rPr>
          <w:w w:val="115"/>
          <w:sz w:val="20"/>
        </w:rPr>
        <w:t>sau reducerea taxei pentru eliberarea certificatelor, avizelor şi autorizaţiilor</w:t>
      </w:r>
      <w:r>
        <w:rPr>
          <w:spacing w:val="-2"/>
          <w:w w:val="115"/>
          <w:sz w:val="20"/>
        </w:rPr>
        <w:t> </w:t>
      </w:r>
      <w:r>
        <w:rPr>
          <w:w w:val="115"/>
          <w:sz w:val="20"/>
        </w:rPr>
        <w:t>pentru:</w:t>
      </w:r>
    </w:p>
    <w:p>
      <w:pPr>
        <w:pStyle w:val="ListParagraph"/>
        <w:numPr>
          <w:ilvl w:val="0"/>
          <w:numId w:val="25"/>
        </w:numPr>
        <w:tabs>
          <w:tab w:pos="474" w:val="left" w:leader="none"/>
        </w:tabs>
        <w:spacing w:line="271" w:lineRule="auto" w:before="108" w:after="0"/>
        <w:ind w:left="108" w:right="113" w:firstLine="0"/>
        <w:jc w:val="both"/>
        <w:rPr>
          <w:sz w:val="20"/>
        </w:rPr>
      </w:pPr>
      <w:r>
        <w:rPr>
          <w:w w:val="115"/>
          <w:sz w:val="20"/>
        </w:rPr>
        <w:t>lucrări de întreţinere, reparare, conservare, consolidare, restaurare, punere în valoare a monumentelor istorice astfel cum sunt definite în</w:t>
      </w:r>
      <w:hyperlink r:id="rId19">
        <w:r>
          <w:rPr>
            <w:color w:val="3DA7F6"/>
            <w:w w:val="115"/>
            <w:sz w:val="20"/>
            <w:u w:val="single" w:color="3DA7F6"/>
          </w:rPr>
          <w:t> Legea nr. 422/2001</w:t>
        </w:r>
        <w:r>
          <w:rPr>
            <w:color w:val="3DA7F6"/>
            <w:w w:val="115"/>
            <w:sz w:val="20"/>
          </w:rPr>
          <w:t> </w:t>
        </w:r>
      </w:hyperlink>
      <w:r>
        <w:rPr>
          <w:w w:val="115"/>
          <w:sz w:val="20"/>
        </w:rPr>
        <w:t>privind protejarea monumentelor istorice, republicată, cu modificările ulterioare, datorate de proprietarii persoane fizice care realizează, integral sau parţial, aceste lucrări pe cheltuială</w:t>
      </w:r>
      <w:r>
        <w:rPr>
          <w:spacing w:val="-11"/>
          <w:w w:val="115"/>
          <w:sz w:val="20"/>
        </w:rPr>
        <w:t> </w:t>
      </w:r>
      <w:r>
        <w:rPr>
          <w:w w:val="115"/>
          <w:sz w:val="20"/>
        </w:rPr>
        <w:t>proprie;</w:t>
      </w:r>
    </w:p>
    <w:p>
      <w:pPr>
        <w:pStyle w:val="ListParagraph"/>
        <w:numPr>
          <w:ilvl w:val="0"/>
          <w:numId w:val="25"/>
        </w:numPr>
        <w:tabs>
          <w:tab w:pos="355" w:val="left" w:leader="none"/>
        </w:tabs>
        <w:spacing w:line="271" w:lineRule="auto" w:before="110" w:after="0"/>
        <w:ind w:left="108" w:right="110" w:firstLine="0"/>
        <w:jc w:val="both"/>
        <w:rPr>
          <w:sz w:val="20"/>
        </w:rPr>
      </w:pPr>
      <w:r>
        <w:rPr>
          <w:w w:val="115"/>
          <w:sz w:val="20"/>
        </w:rPr>
        <w:t>lucrări destinate păstrării integrităţii fizice şi a cadrului construit sau natural al monumentelor istorice definite</w:t>
      </w:r>
      <w:r>
        <w:rPr>
          <w:spacing w:val="-2"/>
          <w:w w:val="115"/>
          <w:sz w:val="20"/>
        </w:rPr>
        <w:t> </w:t>
      </w:r>
      <w:r>
        <w:rPr>
          <w:w w:val="115"/>
          <w:sz w:val="20"/>
        </w:rPr>
        <w:t>în</w:t>
      </w:r>
      <w:r>
        <w:rPr>
          <w:color w:val="3DA7F6"/>
          <w:spacing w:val="-13"/>
          <w:w w:val="115"/>
          <w:sz w:val="20"/>
        </w:rPr>
        <w:t> </w:t>
      </w:r>
      <w:hyperlink r:id="rId19">
        <w:r>
          <w:rPr>
            <w:color w:val="3DA7F6"/>
            <w:w w:val="115"/>
            <w:sz w:val="20"/>
            <w:u w:val="single" w:color="3DA7F6"/>
          </w:rPr>
          <w:t>Legea</w:t>
        </w:r>
        <w:r>
          <w:rPr>
            <w:color w:val="3DA7F6"/>
            <w:spacing w:val="-6"/>
            <w:w w:val="115"/>
            <w:sz w:val="20"/>
            <w:u w:val="single" w:color="3DA7F6"/>
          </w:rPr>
          <w:t> </w:t>
        </w:r>
        <w:r>
          <w:rPr>
            <w:color w:val="3DA7F6"/>
            <w:w w:val="115"/>
            <w:sz w:val="20"/>
            <w:u w:val="single" w:color="3DA7F6"/>
          </w:rPr>
          <w:t>nr.</w:t>
        </w:r>
        <w:r>
          <w:rPr>
            <w:color w:val="3DA7F6"/>
            <w:spacing w:val="-7"/>
            <w:w w:val="115"/>
            <w:sz w:val="20"/>
            <w:u w:val="single" w:color="3DA7F6"/>
          </w:rPr>
          <w:t> </w:t>
        </w:r>
        <w:r>
          <w:rPr>
            <w:color w:val="3DA7F6"/>
            <w:w w:val="115"/>
            <w:sz w:val="20"/>
            <w:u w:val="single" w:color="3DA7F6"/>
          </w:rPr>
          <w:t>422/2001</w:t>
        </w:r>
      </w:hyperlink>
      <w:r>
        <w:rPr>
          <w:color w:val="3DA7F6"/>
          <w:w w:val="115"/>
          <w:sz w:val="20"/>
          <w:u w:val="single" w:color="3DA7F6"/>
        </w:rPr>
        <w:t>,</w:t>
      </w:r>
      <w:r>
        <w:rPr>
          <w:color w:val="3DA7F6"/>
          <w:spacing w:val="-6"/>
          <w:w w:val="115"/>
          <w:sz w:val="20"/>
        </w:rPr>
        <w:t> </w:t>
      </w:r>
      <w:r>
        <w:rPr>
          <w:w w:val="115"/>
          <w:sz w:val="20"/>
        </w:rPr>
        <w:t>republicată,</w:t>
      </w:r>
      <w:r>
        <w:rPr>
          <w:spacing w:val="-3"/>
          <w:w w:val="115"/>
          <w:sz w:val="20"/>
        </w:rPr>
        <w:t> </w:t>
      </w:r>
      <w:r>
        <w:rPr>
          <w:w w:val="115"/>
          <w:sz w:val="20"/>
        </w:rPr>
        <w:t>cu</w:t>
      </w:r>
      <w:r>
        <w:rPr>
          <w:spacing w:val="-3"/>
          <w:w w:val="115"/>
          <w:sz w:val="20"/>
        </w:rPr>
        <w:t> </w:t>
      </w:r>
      <w:r>
        <w:rPr>
          <w:w w:val="115"/>
          <w:sz w:val="20"/>
        </w:rPr>
        <w:t>modificările</w:t>
      </w:r>
      <w:r>
        <w:rPr>
          <w:spacing w:val="-4"/>
          <w:w w:val="115"/>
          <w:sz w:val="20"/>
        </w:rPr>
        <w:t> </w:t>
      </w:r>
      <w:r>
        <w:rPr>
          <w:w w:val="115"/>
          <w:sz w:val="20"/>
        </w:rPr>
        <w:t>ulterioare,</w:t>
      </w:r>
      <w:r>
        <w:rPr>
          <w:spacing w:val="-3"/>
          <w:w w:val="115"/>
          <w:sz w:val="20"/>
        </w:rPr>
        <w:t> </w:t>
      </w:r>
      <w:r>
        <w:rPr>
          <w:w w:val="115"/>
          <w:sz w:val="20"/>
        </w:rPr>
        <w:t>finanţate</w:t>
      </w:r>
      <w:r>
        <w:rPr>
          <w:spacing w:val="-4"/>
          <w:w w:val="115"/>
          <w:sz w:val="20"/>
        </w:rPr>
        <w:t> </w:t>
      </w:r>
      <w:r>
        <w:rPr>
          <w:w w:val="115"/>
          <w:sz w:val="20"/>
        </w:rPr>
        <w:t>de</w:t>
      </w:r>
      <w:r>
        <w:rPr>
          <w:spacing w:val="-3"/>
          <w:w w:val="115"/>
          <w:sz w:val="20"/>
        </w:rPr>
        <w:t> </w:t>
      </w:r>
      <w:r>
        <w:rPr>
          <w:w w:val="115"/>
          <w:sz w:val="20"/>
        </w:rPr>
        <w:t>proprietarii</w:t>
      </w:r>
      <w:r>
        <w:rPr>
          <w:spacing w:val="-4"/>
          <w:w w:val="115"/>
          <w:sz w:val="20"/>
        </w:rPr>
        <w:t> </w:t>
      </w:r>
      <w:r>
        <w:rPr>
          <w:w w:val="115"/>
          <w:sz w:val="20"/>
        </w:rPr>
        <w:t>imobilelor din zona de protecţie a monumentelor istorice, în concordanţă cu reglementările cuprinse în documentaţiile de urbanism întocmite potrivit</w:t>
      </w:r>
      <w:r>
        <w:rPr>
          <w:spacing w:val="-9"/>
          <w:w w:val="115"/>
          <w:sz w:val="20"/>
        </w:rPr>
        <w:t> </w:t>
      </w:r>
      <w:r>
        <w:rPr>
          <w:w w:val="115"/>
          <w:sz w:val="20"/>
        </w:rPr>
        <w:t>legii;</w:t>
      </w:r>
    </w:p>
    <w:p>
      <w:pPr>
        <w:pStyle w:val="ListParagraph"/>
        <w:numPr>
          <w:ilvl w:val="0"/>
          <w:numId w:val="25"/>
        </w:numPr>
        <w:tabs>
          <w:tab w:pos="371" w:val="left" w:leader="none"/>
        </w:tabs>
        <w:spacing w:line="271" w:lineRule="auto" w:before="109" w:after="0"/>
        <w:ind w:left="108" w:right="107" w:firstLine="0"/>
        <w:jc w:val="both"/>
        <w:rPr>
          <w:sz w:val="20"/>
        </w:rPr>
      </w:pPr>
      <w:r>
        <w:rPr>
          <w:w w:val="115"/>
          <w:sz w:val="20"/>
        </w:rPr>
        <w:t>lucrări executate în condiţiile Ordonanţei Guvernului nr. 20/1994 privind măsuri pentru reducerea riscului</w:t>
      </w:r>
      <w:r>
        <w:rPr>
          <w:spacing w:val="-6"/>
          <w:w w:val="115"/>
          <w:sz w:val="20"/>
        </w:rPr>
        <w:t> </w:t>
      </w:r>
      <w:r>
        <w:rPr>
          <w:w w:val="115"/>
          <w:sz w:val="20"/>
        </w:rPr>
        <w:t>seismic</w:t>
      </w:r>
      <w:r>
        <w:rPr>
          <w:spacing w:val="-5"/>
          <w:w w:val="115"/>
          <w:sz w:val="20"/>
        </w:rPr>
        <w:t> </w:t>
      </w:r>
      <w:r>
        <w:rPr>
          <w:w w:val="115"/>
          <w:sz w:val="20"/>
        </w:rPr>
        <w:t>al</w:t>
      </w:r>
      <w:r>
        <w:rPr>
          <w:spacing w:val="-6"/>
          <w:w w:val="115"/>
          <w:sz w:val="20"/>
        </w:rPr>
        <w:t> </w:t>
      </w:r>
      <w:r>
        <w:rPr>
          <w:w w:val="115"/>
          <w:sz w:val="20"/>
        </w:rPr>
        <w:t>construcţiilor</w:t>
      </w:r>
      <w:r>
        <w:rPr>
          <w:spacing w:val="-5"/>
          <w:w w:val="115"/>
          <w:sz w:val="20"/>
        </w:rPr>
        <w:t> </w:t>
      </w:r>
      <w:r>
        <w:rPr>
          <w:w w:val="115"/>
          <w:sz w:val="20"/>
        </w:rPr>
        <w:t>existente,</w:t>
      </w:r>
      <w:r>
        <w:rPr>
          <w:spacing w:val="-6"/>
          <w:w w:val="115"/>
          <w:sz w:val="20"/>
        </w:rPr>
        <w:t> </w:t>
      </w:r>
      <w:r>
        <w:rPr>
          <w:w w:val="115"/>
          <w:sz w:val="20"/>
        </w:rPr>
        <w:t>republicată,</w:t>
      </w:r>
      <w:r>
        <w:rPr>
          <w:spacing w:val="-5"/>
          <w:w w:val="115"/>
          <w:sz w:val="20"/>
        </w:rPr>
        <w:t> </w:t>
      </w:r>
      <w:r>
        <w:rPr>
          <w:w w:val="115"/>
          <w:sz w:val="20"/>
        </w:rPr>
        <w:t>cu</w:t>
      </w:r>
      <w:r>
        <w:rPr>
          <w:spacing w:val="-6"/>
          <w:w w:val="115"/>
          <w:sz w:val="20"/>
        </w:rPr>
        <w:t> </w:t>
      </w:r>
      <w:r>
        <w:rPr>
          <w:w w:val="115"/>
          <w:sz w:val="20"/>
        </w:rPr>
        <w:t>modificările</w:t>
      </w:r>
      <w:r>
        <w:rPr>
          <w:spacing w:val="-5"/>
          <w:w w:val="115"/>
          <w:sz w:val="20"/>
        </w:rPr>
        <w:t> </w:t>
      </w:r>
      <w:r>
        <w:rPr>
          <w:w w:val="115"/>
          <w:sz w:val="20"/>
        </w:rPr>
        <w:t>şi</w:t>
      </w:r>
      <w:r>
        <w:rPr>
          <w:spacing w:val="-6"/>
          <w:w w:val="115"/>
          <w:sz w:val="20"/>
        </w:rPr>
        <w:t> </w:t>
      </w:r>
      <w:r>
        <w:rPr>
          <w:w w:val="115"/>
          <w:sz w:val="20"/>
        </w:rPr>
        <w:t>completările</w:t>
      </w:r>
      <w:r>
        <w:rPr>
          <w:spacing w:val="-5"/>
          <w:w w:val="115"/>
          <w:sz w:val="20"/>
        </w:rPr>
        <w:t> </w:t>
      </w:r>
      <w:r>
        <w:rPr>
          <w:w w:val="115"/>
          <w:sz w:val="20"/>
        </w:rPr>
        <w:t>ulterioare;</w:t>
      </w:r>
    </w:p>
    <w:p>
      <w:pPr>
        <w:pStyle w:val="ListParagraph"/>
        <w:numPr>
          <w:ilvl w:val="0"/>
          <w:numId w:val="25"/>
        </w:numPr>
        <w:tabs>
          <w:tab w:pos="393" w:val="left" w:leader="none"/>
        </w:tabs>
        <w:spacing w:line="271" w:lineRule="auto" w:before="109" w:after="0"/>
        <w:ind w:left="108" w:right="108" w:firstLine="0"/>
        <w:jc w:val="both"/>
        <w:rPr>
          <w:sz w:val="20"/>
        </w:rPr>
      </w:pPr>
      <w:r>
        <w:rPr>
          <w:w w:val="115"/>
          <w:sz w:val="20"/>
        </w:rPr>
        <w:t>lucrări executate în zone de regenerare urbană, delimitate în condiţiil</w:t>
      </w:r>
      <w:hyperlink r:id="rId20">
        <w:r>
          <w:rPr>
            <w:w w:val="115"/>
            <w:sz w:val="20"/>
            <w:u w:val="single" w:color="3DA7F6"/>
          </w:rPr>
          <w:t>e </w:t>
        </w:r>
        <w:r>
          <w:rPr>
            <w:color w:val="3DA7F6"/>
            <w:w w:val="115"/>
            <w:sz w:val="20"/>
            <w:u w:val="single" w:color="3DA7F6"/>
          </w:rPr>
          <w:t>Legii nr. 350/2001</w:t>
        </w:r>
        <w:r>
          <w:rPr>
            <w:color w:val="3DA7F6"/>
            <w:w w:val="115"/>
            <w:sz w:val="20"/>
          </w:rPr>
          <w:t> </w:t>
        </w:r>
      </w:hyperlink>
      <w:r>
        <w:rPr>
          <w:w w:val="115"/>
          <w:sz w:val="20"/>
        </w:rPr>
        <w:t>privind amenajarea teritoriului şi urbanismul, cu modificările şi completările ulterioare, lucrări în care se desfăşoară operaţiuni de regenerare urbană coordonate de administraţia locală, în perioada derulării operaţiunilor</w:t>
      </w:r>
      <w:r>
        <w:rPr>
          <w:spacing w:val="-2"/>
          <w:w w:val="115"/>
          <w:sz w:val="20"/>
        </w:rPr>
        <w:t> </w:t>
      </w:r>
      <w:r>
        <w:rPr>
          <w:w w:val="115"/>
          <w:sz w:val="20"/>
        </w:rPr>
        <w:t>respective.</w:t>
      </w:r>
    </w:p>
    <w:p>
      <w:pPr>
        <w:pStyle w:val="BodyText"/>
        <w:spacing w:line="271" w:lineRule="auto"/>
        <w:ind w:left="107" w:right="107" w:firstLine="564"/>
      </w:pPr>
      <w:r>
        <w:rPr>
          <w:rFonts w:ascii="Arial" w:hAnsi="Arial"/>
          <w:b/>
          <w:w w:val="115"/>
        </w:rPr>
        <w:t>22.1.</w:t>
      </w:r>
      <w:r>
        <w:rPr>
          <w:w w:val="115"/>
        </w:rPr>
        <w:t>a)Orice</w:t>
      </w:r>
      <w:r>
        <w:rPr>
          <w:spacing w:val="-5"/>
          <w:w w:val="115"/>
        </w:rPr>
        <w:t> </w:t>
      </w:r>
      <w:r>
        <w:rPr>
          <w:w w:val="115"/>
        </w:rPr>
        <w:t>persoană</w:t>
      </w:r>
      <w:r>
        <w:rPr>
          <w:spacing w:val="-5"/>
          <w:w w:val="115"/>
        </w:rPr>
        <w:t> </w:t>
      </w:r>
      <w:r>
        <w:rPr>
          <w:w w:val="115"/>
        </w:rPr>
        <w:t>care</w:t>
      </w:r>
      <w:r>
        <w:rPr>
          <w:spacing w:val="-4"/>
          <w:w w:val="115"/>
        </w:rPr>
        <w:t> </w:t>
      </w:r>
      <w:r>
        <w:rPr>
          <w:w w:val="115"/>
        </w:rPr>
        <w:t>beneficiază</w:t>
      </w:r>
      <w:r>
        <w:rPr>
          <w:spacing w:val="-5"/>
          <w:w w:val="115"/>
        </w:rPr>
        <w:t> </w:t>
      </w:r>
      <w:r>
        <w:rPr>
          <w:w w:val="115"/>
        </w:rPr>
        <w:t>de</w:t>
      </w:r>
      <w:r>
        <w:rPr>
          <w:spacing w:val="-5"/>
          <w:w w:val="115"/>
        </w:rPr>
        <w:t> </w:t>
      </w:r>
      <w:r>
        <w:rPr>
          <w:w w:val="115"/>
        </w:rPr>
        <w:t>servicii</w:t>
      </w:r>
      <w:r>
        <w:rPr>
          <w:spacing w:val="-4"/>
          <w:w w:val="115"/>
        </w:rPr>
        <w:t> </w:t>
      </w:r>
      <w:r>
        <w:rPr>
          <w:w w:val="115"/>
        </w:rPr>
        <w:t>de</w:t>
      </w:r>
      <w:r>
        <w:rPr>
          <w:spacing w:val="-5"/>
          <w:w w:val="115"/>
        </w:rPr>
        <w:t> </w:t>
      </w:r>
      <w:r>
        <w:rPr>
          <w:w w:val="115"/>
        </w:rPr>
        <w:t>reclamă</w:t>
      </w:r>
      <w:r>
        <w:rPr>
          <w:spacing w:val="-5"/>
          <w:w w:val="115"/>
        </w:rPr>
        <w:t> </w:t>
      </w:r>
      <w:r>
        <w:rPr>
          <w:w w:val="115"/>
        </w:rPr>
        <w:t>şi</w:t>
      </w:r>
      <w:r>
        <w:rPr>
          <w:spacing w:val="-4"/>
          <w:w w:val="115"/>
        </w:rPr>
        <w:t> </w:t>
      </w:r>
      <w:r>
        <w:rPr>
          <w:w w:val="115"/>
        </w:rPr>
        <w:t>publicitate</w:t>
      </w:r>
      <w:r>
        <w:rPr>
          <w:spacing w:val="-5"/>
          <w:w w:val="115"/>
        </w:rPr>
        <w:t> </w:t>
      </w:r>
      <w:r>
        <w:rPr>
          <w:w w:val="115"/>
        </w:rPr>
        <w:t>în</w:t>
      </w:r>
      <w:r>
        <w:rPr>
          <w:spacing w:val="-5"/>
          <w:w w:val="115"/>
        </w:rPr>
        <w:t> </w:t>
      </w:r>
      <w:r>
        <w:rPr>
          <w:w w:val="115"/>
        </w:rPr>
        <w:t>România</w:t>
      </w:r>
      <w:r>
        <w:rPr>
          <w:spacing w:val="-4"/>
          <w:w w:val="115"/>
        </w:rPr>
        <w:t> </w:t>
      </w:r>
      <w:r>
        <w:rPr>
          <w:w w:val="115"/>
        </w:rPr>
        <w:t>în</w:t>
      </w:r>
      <w:r>
        <w:rPr>
          <w:spacing w:val="-5"/>
          <w:w w:val="115"/>
        </w:rPr>
        <w:t> </w:t>
      </w:r>
      <w:r>
        <w:rPr>
          <w:w w:val="115"/>
        </w:rPr>
        <w:t>baza</w:t>
      </w:r>
      <w:r>
        <w:rPr>
          <w:spacing w:val="-5"/>
          <w:w w:val="115"/>
        </w:rPr>
        <w:t> </w:t>
      </w:r>
      <w:r>
        <w:rPr>
          <w:w w:val="115"/>
        </w:rPr>
        <w:t>unui contract sau a unui alt fel de înţelegere încheiată cu altă persoană datorează plata taxei prevăzute în prezentul articol, cu excepţia serviciilor de reclamă şi publicitate realizate prin mijloacele de informare în masă scrise şi</w:t>
      </w:r>
      <w:r>
        <w:rPr>
          <w:spacing w:val="-3"/>
          <w:w w:val="115"/>
        </w:rPr>
        <w:t> </w:t>
      </w:r>
      <w:r>
        <w:rPr>
          <w:w w:val="115"/>
        </w:rPr>
        <w:t>audiovizuale.</w:t>
      </w:r>
    </w:p>
    <w:p>
      <w:pPr>
        <w:pStyle w:val="ListParagraph"/>
        <w:numPr>
          <w:ilvl w:val="0"/>
          <w:numId w:val="26"/>
        </w:numPr>
        <w:tabs>
          <w:tab w:pos="363" w:val="left" w:leader="none"/>
        </w:tabs>
        <w:spacing w:line="271" w:lineRule="auto" w:before="110" w:after="0"/>
        <w:ind w:left="108" w:right="106" w:firstLine="0"/>
        <w:jc w:val="both"/>
        <w:rPr>
          <w:sz w:val="20"/>
        </w:rPr>
      </w:pPr>
      <w:r>
        <w:rPr>
          <w:w w:val="115"/>
          <w:sz w:val="20"/>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w:t>
      </w:r>
      <w:r>
        <w:rPr>
          <w:spacing w:val="-8"/>
          <w:w w:val="115"/>
          <w:sz w:val="20"/>
        </w:rPr>
        <w:t> </w:t>
      </w:r>
      <w:r>
        <w:rPr>
          <w:w w:val="115"/>
          <w:sz w:val="20"/>
        </w:rPr>
        <w:t>internet.</w:t>
      </w:r>
    </w:p>
    <w:p>
      <w:pPr>
        <w:pStyle w:val="ListParagraph"/>
        <w:numPr>
          <w:ilvl w:val="0"/>
          <w:numId w:val="26"/>
        </w:numPr>
        <w:tabs>
          <w:tab w:pos="358" w:val="left" w:leader="none"/>
        </w:tabs>
        <w:spacing w:line="271" w:lineRule="auto" w:before="109" w:after="0"/>
        <w:ind w:left="108" w:right="118" w:firstLine="0"/>
        <w:jc w:val="both"/>
        <w:rPr>
          <w:sz w:val="20"/>
        </w:rPr>
      </w:pPr>
      <w:r>
        <w:rPr>
          <w:w w:val="115"/>
          <w:sz w:val="20"/>
        </w:rPr>
        <w:t>Taxa pentru servicii de reclamă şi publicitate, se plăteşte la bugetul local al unităţii administrativ- teritoriale în raza căreia persoana prestează serviciile de reclamă şi</w:t>
      </w:r>
      <w:r>
        <w:rPr>
          <w:spacing w:val="-22"/>
          <w:w w:val="115"/>
          <w:sz w:val="20"/>
        </w:rPr>
        <w:t> </w:t>
      </w:r>
      <w:r>
        <w:rPr>
          <w:w w:val="115"/>
          <w:sz w:val="20"/>
        </w:rPr>
        <w:t>publicitate.</w:t>
      </w:r>
    </w:p>
    <w:p>
      <w:pPr>
        <w:pStyle w:val="ListParagraph"/>
        <w:numPr>
          <w:ilvl w:val="0"/>
          <w:numId w:val="26"/>
        </w:numPr>
        <w:tabs>
          <w:tab w:pos="384" w:val="left" w:leader="none"/>
        </w:tabs>
        <w:spacing w:line="271" w:lineRule="auto" w:before="109" w:after="0"/>
        <w:ind w:left="108" w:right="111" w:firstLine="0"/>
        <w:jc w:val="both"/>
        <w:rPr>
          <w:sz w:val="20"/>
        </w:rPr>
      </w:pPr>
      <w:r>
        <w:rPr>
          <w:w w:val="115"/>
          <w:sz w:val="20"/>
        </w:rPr>
        <w:t>Taxa pentru servicii de reclamă şi publicitate se calculează prin aplicarea cotei taxei respective la valoarea serviciilor de reclamă şi</w:t>
      </w:r>
      <w:r>
        <w:rPr>
          <w:spacing w:val="-7"/>
          <w:w w:val="115"/>
          <w:sz w:val="20"/>
        </w:rPr>
        <w:t> </w:t>
      </w:r>
      <w:r>
        <w:rPr>
          <w:w w:val="115"/>
          <w:sz w:val="20"/>
        </w:rPr>
        <w:t>publicitate.</w:t>
      </w:r>
    </w:p>
    <w:p>
      <w:pPr>
        <w:pStyle w:val="ListParagraph"/>
        <w:numPr>
          <w:ilvl w:val="0"/>
          <w:numId w:val="26"/>
        </w:numPr>
        <w:tabs>
          <w:tab w:pos="331" w:val="left" w:leader="none"/>
        </w:tabs>
        <w:spacing w:line="240" w:lineRule="auto" w:before="108" w:after="0"/>
        <w:ind w:left="330" w:right="0" w:hanging="222"/>
        <w:jc w:val="both"/>
        <w:rPr>
          <w:sz w:val="20"/>
        </w:rPr>
      </w:pPr>
      <w:r>
        <w:rPr>
          <w:w w:val="110"/>
          <w:sz w:val="20"/>
        </w:rPr>
        <w:t>Cota taxei este 2</w:t>
      </w:r>
      <w:r>
        <w:rPr>
          <w:spacing w:val="6"/>
          <w:w w:val="110"/>
          <w:sz w:val="20"/>
        </w:rPr>
        <w:t> </w:t>
      </w:r>
      <w:r>
        <w:rPr>
          <w:w w:val="110"/>
          <w:sz w:val="20"/>
        </w:rPr>
        <w:t>%.</w:t>
      </w:r>
    </w:p>
    <w:p>
      <w:pPr>
        <w:pStyle w:val="ListParagraph"/>
        <w:numPr>
          <w:ilvl w:val="0"/>
          <w:numId w:val="26"/>
        </w:numPr>
        <w:tabs>
          <w:tab w:pos="337" w:val="left" w:leader="none"/>
        </w:tabs>
        <w:spacing w:line="271" w:lineRule="auto" w:before="140" w:after="0"/>
        <w:ind w:left="108" w:right="118" w:firstLine="0"/>
        <w:jc w:val="both"/>
        <w:rPr>
          <w:sz w:val="20"/>
        </w:rPr>
      </w:pPr>
      <w:r>
        <w:rPr>
          <w:w w:val="115"/>
          <w:sz w:val="20"/>
        </w:rPr>
        <w:t>Valoarea serviciilor de reclamă şi publicitate cuprinde orice plată obţinută sau care urmează a fi obţinută</w:t>
      </w:r>
      <w:r>
        <w:rPr>
          <w:spacing w:val="-4"/>
          <w:w w:val="115"/>
          <w:sz w:val="20"/>
        </w:rPr>
        <w:t> </w:t>
      </w:r>
      <w:r>
        <w:rPr>
          <w:w w:val="115"/>
          <w:sz w:val="20"/>
        </w:rPr>
        <w:t>pentru</w:t>
      </w:r>
      <w:r>
        <w:rPr>
          <w:spacing w:val="-4"/>
          <w:w w:val="115"/>
          <w:sz w:val="20"/>
        </w:rPr>
        <w:t> </w:t>
      </w:r>
      <w:r>
        <w:rPr>
          <w:w w:val="115"/>
          <w:sz w:val="20"/>
        </w:rPr>
        <w:t>serviciile</w:t>
      </w:r>
      <w:r>
        <w:rPr>
          <w:spacing w:val="-4"/>
          <w:w w:val="115"/>
          <w:sz w:val="20"/>
        </w:rPr>
        <w:t> </w:t>
      </w:r>
      <w:r>
        <w:rPr>
          <w:w w:val="115"/>
          <w:sz w:val="20"/>
        </w:rPr>
        <w:t>de</w:t>
      </w:r>
      <w:r>
        <w:rPr>
          <w:spacing w:val="-4"/>
          <w:w w:val="115"/>
          <w:sz w:val="20"/>
        </w:rPr>
        <w:t> </w:t>
      </w:r>
      <w:r>
        <w:rPr>
          <w:w w:val="115"/>
          <w:sz w:val="20"/>
        </w:rPr>
        <w:t>reclamă</w:t>
      </w:r>
      <w:r>
        <w:rPr>
          <w:spacing w:val="-4"/>
          <w:w w:val="115"/>
          <w:sz w:val="20"/>
        </w:rPr>
        <w:t> </w:t>
      </w:r>
      <w:r>
        <w:rPr>
          <w:w w:val="115"/>
          <w:sz w:val="20"/>
        </w:rPr>
        <w:t>şi</w:t>
      </w:r>
      <w:r>
        <w:rPr>
          <w:spacing w:val="-3"/>
          <w:w w:val="115"/>
          <w:sz w:val="20"/>
        </w:rPr>
        <w:t> </w:t>
      </w:r>
      <w:r>
        <w:rPr>
          <w:w w:val="115"/>
          <w:sz w:val="20"/>
        </w:rPr>
        <w:t>publicitate,</w:t>
      </w:r>
      <w:r>
        <w:rPr>
          <w:spacing w:val="-4"/>
          <w:w w:val="115"/>
          <w:sz w:val="20"/>
        </w:rPr>
        <w:t> </w:t>
      </w:r>
      <w:r>
        <w:rPr>
          <w:w w:val="115"/>
          <w:sz w:val="20"/>
        </w:rPr>
        <w:t>cu</w:t>
      </w:r>
      <w:r>
        <w:rPr>
          <w:spacing w:val="-4"/>
          <w:w w:val="115"/>
          <w:sz w:val="20"/>
        </w:rPr>
        <w:t> </w:t>
      </w:r>
      <w:r>
        <w:rPr>
          <w:w w:val="115"/>
          <w:sz w:val="20"/>
        </w:rPr>
        <w:t>excepţia</w:t>
      </w:r>
      <w:r>
        <w:rPr>
          <w:spacing w:val="-4"/>
          <w:w w:val="115"/>
          <w:sz w:val="20"/>
        </w:rPr>
        <w:t> </w:t>
      </w:r>
      <w:r>
        <w:rPr>
          <w:w w:val="115"/>
          <w:sz w:val="20"/>
        </w:rPr>
        <w:t>taxei</w:t>
      </w:r>
      <w:r>
        <w:rPr>
          <w:spacing w:val="-4"/>
          <w:w w:val="115"/>
          <w:sz w:val="20"/>
        </w:rPr>
        <w:t> </w:t>
      </w:r>
      <w:r>
        <w:rPr>
          <w:w w:val="115"/>
          <w:sz w:val="20"/>
        </w:rPr>
        <w:t>pe</w:t>
      </w:r>
      <w:r>
        <w:rPr>
          <w:spacing w:val="-3"/>
          <w:w w:val="115"/>
          <w:sz w:val="20"/>
        </w:rPr>
        <w:t> </w:t>
      </w:r>
      <w:r>
        <w:rPr>
          <w:w w:val="115"/>
          <w:sz w:val="20"/>
        </w:rPr>
        <w:t>valoarea</w:t>
      </w:r>
      <w:r>
        <w:rPr>
          <w:spacing w:val="-4"/>
          <w:w w:val="115"/>
          <w:sz w:val="20"/>
        </w:rPr>
        <w:t> </w:t>
      </w:r>
      <w:r>
        <w:rPr>
          <w:w w:val="115"/>
          <w:sz w:val="20"/>
        </w:rPr>
        <w:t>adăugată.</w:t>
      </w:r>
    </w:p>
    <w:p>
      <w:pPr>
        <w:pStyle w:val="ListParagraph"/>
        <w:numPr>
          <w:ilvl w:val="0"/>
          <w:numId w:val="26"/>
        </w:numPr>
        <w:tabs>
          <w:tab w:pos="277" w:val="left" w:leader="none"/>
        </w:tabs>
        <w:spacing w:line="271" w:lineRule="auto" w:before="108" w:after="0"/>
        <w:ind w:left="108" w:right="108" w:firstLine="0"/>
        <w:jc w:val="both"/>
        <w:rPr>
          <w:sz w:val="20"/>
        </w:rPr>
      </w:pPr>
      <w:r>
        <w:rPr>
          <w:w w:val="115"/>
          <w:sz w:val="20"/>
        </w:rPr>
        <w:t>Taxa pentru servicii de reclamă şi publicitate prevăzută la alin. (1) se declară şi se plăteşte de către prestatorul serviciului de reclamă şi publicitate la bugetul local, lunar, până la data de 10 a lunii următoare</w:t>
      </w:r>
      <w:r>
        <w:rPr>
          <w:spacing w:val="-6"/>
          <w:w w:val="115"/>
          <w:sz w:val="20"/>
        </w:rPr>
        <w:t> </w:t>
      </w:r>
      <w:r>
        <w:rPr>
          <w:w w:val="115"/>
          <w:sz w:val="20"/>
        </w:rPr>
        <w:t>celei</w:t>
      </w:r>
      <w:r>
        <w:rPr>
          <w:spacing w:val="-5"/>
          <w:w w:val="115"/>
          <w:sz w:val="20"/>
        </w:rPr>
        <w:t> </w:t>
      </w:r>
      <w:r>
        <w:rPr>
          <w:w w:val="115"/>
          <w:sz w:val="20"/>
        </w:rPr>
        <w:t>în</w:t>
      </w:r>
      <w:r>
        <w:rPr>
          <w:spacing w:val="-5"/>
          <w:w w:val="115"/>
          <w:sz w:val="20"/>
        </w:rPr>
        <w:t> </w:t>
      </w:r>
      <w:r>
        <w:rPr>
          <w:w w:val="115"/>
          <w:sz w:val="20"/>
        </w:rPr>
        <w:t>care</w:t>
      </w:r>
      <w:r>
        <w:rPr>
          <w:spacing w:val="-6"/>
          <w:w w:val="115"/>
          <w:sz w:val="20"/>
        </w:rPr>
        <w:t> </w:t>
      </w:r>
      <w:r>
        <w:rPr>
          <w:w w:val="115"/>
          <w:sz w:val="20"/>
        </w:rPr>
        <w:t>a</w:t>
      </w:r>
      <w:r>
        <w:rPr>
          <w:spacing w:val="-5"/>
          <w:w w:val="115"/>
          <w:sz w:val="20"/>
        </w:rPr>
        <w:t> </w:t>
      </w:r>
      <w:r>
        <w:rPr>
          <w:w w:val="115"/>
          <w:sz w:val="20"/>
        </w:rPr>
        <w:t>intrat</w:t>
      </w:r>
      <w:r>
        <w:rPr>
          <w:spacing w:val="-5"/>
          <w:w w:val="115"/>
          <w:sz w:val="20"/>
        </w:rPr>
        <w:t> </w:t>
      </w:r>
      <w:r>
        <w:rPr>
          <w:w w:val="115"/>
          <w:sz w:val="20"/>
        </w:rPr>
        <w:t>în</w:t>
      </w:r>
      <w:r>
        <w:rPr>
          <w:spacing w:val="-6"/>
          <w:w w:val="115"/>
          <w:sz w:val="20"/>
        </w:rPr>
        <w:t> </w:t>
      </w:r>
      <w:r>
        <w:rPr>
          <w:w w:val="115"/>
          <w:sz w:val="20"/>
        </w:rPr>
        <w:t>vigoare</w:t>
      </w:r>
      <w:r>
        <w:rPr>
          <w:spacing w:val="-5"/>
          <w:w w:val="115"/>
          <w:sz w:val="20"/>
        </w:rPr>
        <w:t> </w:t>
      </w:r>
      <w:r>
        <w:rPr>
          <w:w w:val="115"/>
          <w:sz w:val="20"/>
        </w:rPr>
        <w:t>contractul</w:t>
      </w:r>
      <w:r>
        <w:rPr>
          <w:spacing w:val="-5"/>
          <w:w w:val="115"/>
          <w:sz w:val="20"/>
        </w:rPr>
        <w:t> </w:t>
      </w:r>
      <w:r>
        <w:rPr>
          <w:w w:val="115"/>
          <w:sz w:val="20"/>
        </w:rPr>
        <w:t>de</w:t>
      </w:r>
      <w:r>
        <w:rPr>
          <w:spacing w:val="-6"/>
          <w:w w:val="115"/>
          <w:sz w:val="20"/>
        </w:rPr>
        <w:t> </w:t>
      </w:r>
      <w:r>
        <w:rPr>
          <w:w w:val="115"/>
          <w:sz w:val="20"/>
        </w:rPr>
        <w:t>prestări</w:t>
      </w:r>
      <w:r>
        <w:rPr>
          <w:spacing w:val="-5"/>
          <w:w w:val="115"/>
          <w:sz w:val="20"/>
        </w:rPr>
        <w:t> </w:t>
      </w:r>
      <w:r>
        <w:rPr>
          <w:w w:val="115"/>
          <w:sz w:val="20"/>
        </w:rPr>
        <w:t>de</w:t>
      </w:r>
      <w:r>
        <w:rPr>
          <w:spacing w:val="-5"/>
          <w:w w:val="115"/>
          <w:sz w:val="20"/>
        </w:rPr>
        <w:t> </w:t>
      </w:r>
      <w:r>
        <w:rPr>
          <w:w w:val="115"/>
          <w:sz w:val="20"/>
        </w:rPr>
        <w:t>servicii</w:t>
      </w:r>
      <w:r>
        <w:rPr>
          <w:spacing w:val="-6"/>
          <w:w w:val="115"/>
          <w:sz w:val="20"/>
        </w:rPr>
        <w:t> </w:t>
      </w:r>
      <w:r>
        <w:rPr>
          <w:w w:val="115"/>
          <w:sz w:val="20"/>
        </w:rPr>
        <w:t>de</w:t>
      </w:r>
      <w:r>
        <w:rPr>
          <w:spacing w:val="-5"/>
          <w:w w:val="115"/>
          <w:sz w:val="20"/>
        </w:rPr>
        <w:t> </w:t>
      </w:r>
      <w:r>
        <w:rPr>
          <w:w w:val="115"/>
          <w:sz w:val="20"/>
        </w:rPr>
        <w:t>reclamă</w:t>
      </w:r>
      <w:r>
        <w:rPr>
          <w:spacing w:val="-5"/>
          <w:w w:val="115"/>
          <w:sz w:val="20"/>
        </w:rPr>
        <w:t> </w:t>
      </w:r>
      <w:r>
        <w:rPr>
          <w:w w:val="115"/>
          <w:sz w:val="20"/>
        </w:rPr>
        <w:t>şi</w:t>
      </w:r>
      <w:r>
        <w:rPr>
          <w:spacing w:val="-6"/>
          <w:w w:val="115"/>
          <w:sz w:val="20"/>
        </w:rPr>
        <w:t> </w:t>
      </w:r>
      <w:r>
        <w:rPr>
          <w:w w:val="115"/>
          <w:sz w:val="20"/>
        </w:rPr>
        <w:t>publicitate.</w:t>
      </w:r>
    </w:p>
    <w:p>
      <w:pPr>
        <w:pStyle w:val="ListParagraph"/>
        <w:numPr>
          <w:ilvl w:val="1"/>
          <w:numId w:val="24"/>
        </w:numPr>
        <w:tabs>
          <w:tab w:pos="278" w:val="left" w:leader="none"/>
        </w:tabs>
        <w:spacing w:line="271" w:lineRule="auto" w:before="109" w:after="0"/>
        <w:ind w:left="108" w:right="111" w:firstLine="0"/>
        <w:jc w:val="both"/>
        <w:rPr>
          <w:sz w:val="20"/>
        </w:rPr>
      </w:pPr>
      <w:r>
        <w:rPr>
          <w:w w:val="115"/>
          <w:sz w:val="20"/>
        </w:rPr>
        <w:t>Orice persoană care utilizează un panou, un afişaj sau o structură de afişaj pentru reclamă şi publicitate, cu excepţia celei care intră sub incidenţa</w:t>
      </w:r>
      <w:r>
        <w:rPr>
          <w:color w:val="3DA7F6"/>
          <w:w w:val="115"/>
          <w:sz w:val="20"/>
        </w:rPr>
        <w:t> </w:t>
      </w:r>
      <w:r>
        <w:rPr>
          <w:color w:val="3DA7F6"/>
          <w:w w:val="115"/>
          <w:sz w:val="20"/>
          <w:u w:val="single" w:color="3DA7F6"/>
        </w:rPr>
        <w:t>art. 477</w:t>
      </w:r>
      <w:r>
        <w:rPr>
          <w:w w:val="115"/>
          <w:sz w:val="20"/>
        </w:rPr>
        <w:t>, din Codul fiscal datorează plata taxei anuale prevăzute în prezentul articol către bugetul local al comunei, în raza căreia/căruia este amplasat panoul, afişajul sau structura de afişaj</w:t>
      </w:r>
      <w:r>
        <w:rPr>
          <w:spacing w:val="-8"/>
          <w:w w:val="115"/>
          <w:sz w:val="20"/>
        </w:rPr>
        <w:t> </w:t>
      </w:r>
      <w:r>
        <w:rPr>
          <w:w w:val="115"/>
          <w:sz w:val="20"/>
        </w:rPr>
        <w:t>respectivă.</w:t>
      </w:r>
    </w:p>
    <w:p>
      <w:pPr>
        <w:pStyle w:val="ListParagraph"/>
        <w:numPr>
          <w:ilvl w:val="1"/>
          <w:numId w:val="24"/>
        </w:numPr>
        <w:tabs>
          <w:tab w:pos="457" w:val="left" w:leader="none"/>
        </w:tabs>
        <w:spacing w:line="271" w:lineRule="auto" w:before="110" w:after="0"/>
        <w:ind w:left="108" w:right="108" w:firstLine="82"/>
        <w:jc w:val="both"/>
        <w:rPr>
          <w:sz w:val="20"/>
        </w:rPr>
      </w:pPr>
      <w:r>
        <w:rPr>
          <w:w w:val="115"/>
          <w:sz w:val="20"/>
        </w:rPr>
        <w:t>Valoarea taxei pentru afişaj în scop de reclamă şi publicitate se calculează anual prin înmulţirea numărului de metri pătraţi sau a fracţiunii de metru pătrat a suprafeţei afişajului pentru reclamă sau publicitate cu suma stabilită de consiliul local,</w:t>
      </w:r>
      <w:r>
        <w:rPr>
          <w:spacing w:val="-11"/>
          <w:w w:val="115"/>
          <w:sz w:val="20"/>
        </w:rPr>
        <w:t> </w:t>
      </w:r>
      <w:r>
        <w:rPr>
          <w:w w:val="115"/>
          <w:sz w:val="20"/>
        </w:rPr>
        <w:t>astfel:</w:t>
      </w:r>
    </w:p>
    <w:p>
      <w:pPr>
        <w:spacing w:after="0" w:line="271" w:lineRule="auto"/>
        <w:jc w:val="both"/>
        <w:rPr>
          <w:sz w:val="20"/>
        </w:rPr>
        <w:sectPr>
          <w:footerReference w:type="default" r:id="rId18"/>
          <w:pgSz w:w="11900" w:h="16840"/>
          <w:pgMar w:footer="360" w:header="0" w:top="500" w:bottom="560" w:left="1140" w:right="740"/>
          <w:pgNumType w:start="20"/>
        </w:sectPr>
      </w:pPr>
    </w:p>
    <w:p>
      <w:pPr>
        <w:pStyle w:val="ListParagraph"/>
        <w:numPr>
          <w:ilvl w:val="0"/>
          <w:numId w:val="27"/>
        </w:numPr>
        <w:tabs>
          <w:tab w:pos="355" w:val="left" w:leader="none"/>
        </w:tabs>
        <w:spacing w:line="271" w:lineRule="auto" w:before="100" w:after="0"/>
        <w:ind w:left="108" w:right="108" w:firstLine="0"/>
        <w:jc w:val="both"/>
        <w:rPr>
          <w:sz w:val="20"/>
        </w:rPr>
      </w:pPr>
      <w:r>
        <w:rPr>
          <w:w w:val="115"/>
          <w:sz w:val="20"/>
        </w:rPr>
        <w:t>în cazul unui afişaj situat în locul în care persoana derulează o activitate economică, suma este de 35 lei.</w:t>
      </w:r>
    </w:p>
    <w:p>
      <w:pPr>
        <w:pStyle w:val="ListParagraph"/>
        <w:numPr>
          <w:ilvl w:val="0"/>
          <w:numId w:val="27"/>
        </w:numPr>
        <w:tabs>
          <w:tab w:pos="370" w:val="left" w:leader="none"/>
        </w:tabs>
        <w:spacing w:line="271" w:lineRule="auto" w:before="109" w:after="0"/>
        <w:ind w:left="108" w:right="114" w:firstLine="0"/>
        <w:jc w:val="both"/>
        <w:rPr>
          <w:sz w:val="20"/>
        </w:rPr>
      </w:pPr>
      <w:r>
        <w:rPr>
          <w:w w:val="115"/>
          <w:sz w:val="20"/>
        </w:rPr>
        <w:t>în cazul oricărui altui panou, afişaj sau oricărei altei structuri de afişaj pentru reclamă şi publicitate, suma este de 25</w:t>
      </w:r>
      <w:r>
        <w:rPr>
          <w:spacing w:val="-4"/>
          <w:w w:val="115"/>
          <w:sz w:val="20"/>
        </w:rPr>
        <w:t> </w:t>
      </w:r>
      <w:r>
        <w:rPr>
          <w:w w:val="115"/>
          <w:sz w:val="20"/>
        </w:rPr>
        <w:t>lei.</w:t>
      </w:r>
    </w:p>
    <w:p>
      <w:pPr>
        <w:pStyle w:val="ListParagraph"/>
        <w:numPr>
          <w:ilvl w:val="0"/>
          <w:numId w:val="27"/>
        </w:numPr>
        <w:tabs>
          <w:tab w:pos="348" w:val="left" w:leader="none"/>
        </w:tabs>
        <w:spacing w:line="271" w:lineRule="auto" w:before="108" w:after="0"/>
        <w:ind w:left="108" w:right="107" w:firstLine="0"/>
        <w:jc w:val="both"/>
        <w:rPr>
          <w:sz w:val="20"/>
        </w:rPr>
      </w:pPr>
      <w:r>
        <w:rPr>
          <w:w w:val="115"/>
          <w:sz w:val="20"/>
        </w:rPr>
        <w:t>Taxa pentru afişaj în scop de reclamă şi publicitate se recalculează pentru a reflecta numărul de luni sau</w:t>
      </w:r>
      <w:r>
        <w:rPr>
          <w:spacing w:val="-4"/>
          <w:w w:val="115"/>
          <w:sz w:val="20"/>
        </w:rPr>
        <w:t> </w:t>
      </w:r>
      <w:r>
        <w:rPr>
          <w:w w:val="115"/>
          <w:sz w:val="20"/>
        </w:rPr>
        <w:t>fracţiunea</w:t>
      </w:r>
      <w:r>
        <w:rPr>
          <w:spacing w:val="-4"/>
          <w:w w:val="115"/>
          <w:sz w:val="20"/>
        </w:rPr>
        <w:t> </w:t>
      </w:r>
      <w:r>
        <w:rPr>
          <w:w w:val="115"/>
          <w:sz w:val="20"/>
        </w:rPr>
        <w:t>din</w:t>
      </w:r>
      <w:r>
        <w:rPr>
          <w:spacing w:val="-3"/>
          <w:w w:val="115"/>
          <w:sz w:val="20"/>
        </w:rPr>
        <w:t> </w:t>
      </w:r>
      <w:r>
        <w:rPr>
          <w:w w:val="115"/>
          <w:sz w:val="20"/>
        </w:rPr>
        <w:t>lună</w:t>
      </w:r>
      <w:r>
        <w:rPr>
          <w:spacing w:val="-4"/>
          <w:w w:val="115"/>
          <w:sz w:val="20"/>
        </w:rPr>
        <w:t> </w:t>
      </w:r>
      <w:r>
        <w:rPr>
          <w:w w:val="115"/>
          <w:sz w:val="20"/>
        </w:rPr>
        <w:t>dintr-un</w:t>
      </w:r>
      <w:r>
        <w:rPr>
          <w:spacing w:val="-3"/>
          <w:w w:val="115"/>
          <w:sz w:val="20"/>
        </w:rPr>
        <w:t> </w:t>
      </w:r>
      <w:r>
        <w:rPr>
          <w:w w:val="115"/>
          <w:sz w:val="20"/>
        </w:rPr>
        <w:t>an</w:t>
      </w:r>
      <w:r>
        <w:rPr>
          <w:spacing w:val="-4"/>
          <w:w w:val="115"/>
          <w:sz w:val="20"/>
        </w:rPr>
        <w:t> </w:t>
      </w:r>
      <w:r>
        <w:rPr>
          <w:w w:val="115"/>
          <w:sz w:val="20"/>
        </w:rPr>
        <w:t>calendaristic</w:t>
      </w:r>
      <w:r>
        <w:rPr>
          <w:spacing w:val="-3"/>
          <w:w w:val="115"/>
          <w:sz w:val="20"/>
        </w:rPr>
        <w:t> </w:t>
      </w:r>
      <w:r>
        <w:rPr>
          <w:w w:val="115"/>
          <w:sz w:val="20"/>
        </w:rPr>
        <w:t>în</w:t>
      </w:r>
      <w:r>
        <w:rPr>
          <w:spacing w:val="-4"/>
          <w:w w:val="115"/>
          <w:sz w:val="20"/>
        </w:rPr>
        <w:t> </w:t>
      </w:r>
      <w:r>
        <w:rPr>
          <w:w w:val="115"/>
          <w:sz w:val="20"/>
        </w:rPr>
        <w:t>care</w:t>
      </w:r>
      <w:r>
        <w:rPr>
          <w:spacing w:val="-3"/>
          <w:w w:val="115"/>
          <w:sz w:val="20"/>
        </w:rPr>
        <w:t> </w:t>
      </w:r>
      <w:r>
        <w:rPr>
          <w:w w:val="115"/>
          <w:sz w:val="20"/>
        </w:rPr>
        <w:t>se</w:t>
      </w:r>
      <w:r>
        <w:rPr>
          <w:spacing w:val="-4"/>
          <w:w w:val="115"/>
          <w:sz w:val="20"/>
        </w:rPr>
        <w:t> </w:t>
      </w:r>
      <w:r>
        <w:rPr>
          <w:w w:val="115"/>
          <w:sz w:val="20"/>
        </w:rPr>
        <w:t>afişează</w:t>
      </w:r>
      <w:r>
        <w:rPr>
          <w:spacing w:val="-4"/>
          <w:w w:val="115"/>
          <w:sz w:val="20"/>
        </w:rPr>
        <w:t> </w:t>
      </w:r>
      <w:r>
        <w:rPr>
          <w:w w:val="115"/>
          <w:sz w:val="20"/>
        </w:rPr>
        <w:t>în</w:t>
      </w:r>
      <w:r>
        <w:rPr>
          <w:spacing w:val="-3"/>
          <w:w w:val="115"/>
          <w:sz w:val="20"/>
        </w:rPr>
        <w:t> </w:t>
      </w:r>
      <w:r>
        <w:rPr>
          <w:w w:val="115"/>
          <w:sz w:val="20"/>
        </w:rPr>
        <w:t>scop</w:t>
      </w:r>
      <w:r>
        <w:rPr>
          <w:spacing w:val="-4"/>
          <w:w w:val="115"/>
          <w:sz w:val="20"/>
        </w:rPr>
        <w:t> </w:t>
      </w:r>
      <w:r>
        <w:rPr>
          <w:w w:val="115"/>
          <w:sz w:val="20"/>
        </w:rPr>
        <w:t>de</w:t>
      </w:r>
      <w:r>
        <w:rPr>
          <w:spacing w:val="-3"/>
          <w:w w:val="115"/>
          <w:sz w:val="20"/>
        </w:rPr>
        <w:t> </w:t>
      </w:r>
      <w:r>
        <w:rPr>
          <w:w w:val="115"/>
          <w:sz w:val="20"/>
        </w:rPr>
        <w:t>reclamă</w:t>
      </w:r>
      <w:r>
        <w:rPr>
          <w:spacing w:val="-4"/>
          <w:w w:val="115"/>
          <w:sz w:val="20"/>
        </w:rPr>
        <w:t> </w:t>
      </w:r>
      <w:r>
        <w:rPr>
          <w:w w:val="115"/>
          <w:sz w:val="20"/>
        </w:rPr>
        <w:t>şi</w:t>
      </w:r>
      <w:r>
        <w:rPr>
          <w:spacing w:val="-3"/>
          <w:w w:val="115"/>
          <w:sz w:val="20"/>
        </w:rPr>
        <w:t> </w:t>
      </w:r>
      <w:r>
        <w:rPr>
          <w:w w:val="115"/>
          <w:sz w:val="20"/>
        </w:rPr>
        <w:t>publicitate.</w:t>
      </w:r>
    </w:p>
    <w:p>
      <w:pPr>
        <w:pStyle w:val="ListParagraph"/>
        <w:numPr>
          <w:ilvl w:val="0"/>
          <w:numId w:val="27"/>
        </w:numPr>
        <w:tabs>
          <w:tab w:pos="374" w:val="left" w:leader="none"/>
        </w:tabs>
        <w:spacing w:line="271" w:lineRule="auto" w:before="109" w:after="0"/>
        <w:ind w:left="108" w:right="106" w:firstLine="0"/>
        <w:jc w:val="both"/>
        <w:rPr>
          <w:sz w:val="20"/>
        </w:rPr>
      </w:pPr>
      <w:r>
        <w:rPr>
          <w:w w:val="115"/>
          <w:sz w:val="20"/>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50 lei se plăteşte integral până la primul termen de</w:t>
      </w:r>
      <w:r>
        <w:rPr>
          <w:spacing w:val="-7"/>
          <w:w w:val="115"/>
          <w:sz w:val="20"/>
        </w:rPr>
        <w:t> </w:t>
      </w:r>
      <w:r>
        <w:rPr>
          <w:w w:val="115"/>
          <w:sz w:val="20"/>
        </w:rPr>
        <w:t>plată.</w:t>
      </w:r>
    </w:p>
    <w:p>
      <w:pPr>
        <w:pStyle w:val="ListParagraph"/>
        <w:numPr>
          <w:ilvl w:val="0"/>
          <w:numId w:val="27"/>
        </w:numPr>
        <w:tabs>
          <w:tab w:pos="352" w:val="left" w:leader="none"/>
        </w:tabs>
        <w:spacing w:line="271" w:lineRule="auto" w:before="109" w:after="0"/>
        <w:ind w:left="108" w:right="110" w:firstLine="0"/>
        <w:jc w:val="both"/>
        <w:rPr>
          <w:sz w:val="20"/>
        </w:rPr>
      </w:pPr>
      <w:r>
        <w:rPr>
          <w:w w:val="115"/>
          <w:sz w:val="20"/>
        </w:rPr>
        <w:t>Persoanele care datorează taxa pentru afişaj în scop de reclamă şi publicitate sunt obligate să depună o declaraţie la compartimentul de specialitate al autorităţii administraţiei publice locale în termen de 30 de zile de la data amplasării structurii de</w:t>
      </w:r>
      <w:r>
        <w:rPr>
          <w:spacing w:val="-10"/>
          <w:w w:val="115"/>
          <w:sz w:val="20"/>
        </w:rPr>
        <w:t> </w:t>
      </w:r>
      <w:r>
        <w:rPr>
          <w:w w:val="115"/>
          <w:sz w:val="20"/>
        </w:rPr>
        <w:t>afişaj.</w:t>
      </w:r>
    </w:p>
    <w:p>
      <w:pPr>
        <w:pStyle w:val="ListParagraph"/>
        <w:numPr>
          <w:ilvl w:val="0"/>
          <w:numId w:val="28"/>
        </w:numPr>
        <w:tabs>
          <w:tab w:pos="569" w:val="left" w:leader="none"/>
        </w:tabs>
        <w:spacing w:line="276" w:lineRule="auto" w:before="112" w:after="0"/>
        <w:ind w:left="108" w:right="109" w:firstLine="0"/>
        <w:jc w:val="both"/>
        <w:rPr>
          <w:rFonts w:ascii="Arial" w:hAnsi="Arial"/>
          <w:sz w:val="20"/>
        </w:rPr>
      </w:pPr>
      <w:r>
        <w:rPr>
          <w:rFonts w:ascii="Arial" w:hAnsi="Arial"/>
          <w:b/>
          <w:w w:val="110"/>
          <w:sz w:val="20"/>
        </w:rPr>
        <w:t>Orice</w:t>
      </w:r>
      <w:r>
        <w:rPr>
          <w:rFonts w:ascii="Arial" w:hAnsi="Arial"/>
          <w:b/>
          <w:spacing w:val="-26"/>
          <w:w w:val="110"/>
          <w:sz w:val="20"/>
        </w:rPr>
        <w:t> </w:t>
      </w:r>
      <w:r>
        <w:rPr>
          <w:rFonts w:ascii="Arial" w:hAnsi="Arial"/>
          <w:b/>
          <w:w w:val="110"/>
          <w:sz w:val="20"/>
        </w:rPr>
        <w:t>persoană</w:t>
      </w:r>
      <w:r>
        <w:rPr>
          <w:rFonts w:ascii="Arial" w:hAnsi="Arial"/>
          <w:b/>
          <w:spacing w:val="-25"/>
          <w:w w:val="110"/>
          <w:sz w:val="20"/>
        </w:rPr>
        <w:t> </w:t>
      </w:r>
      <w:r>
        <w:rPr>
          <w:rFonts w:ascii="Arial" w:hAnsi="Arial"/>
          <w:b/>
          <w:w w:val="110"/>
          <w:sz w:val="20"/>
        </w:rPr>
        <w:t>care</w:t>
      </w:r>
      <w:r>
        <w:rPr>
          <w:rFonts w:ascii="Arial" w:hAnsi="Arial"/>
          <w:b/>
          <w:spacing w:val="-25"/>
          <w:w w:val="110"/>
          <w:sz w:val="20"/>
        </w:rPr>
        <w:t> </w:t>
      </w:r>
      <w:r>
        <w:rPr>
          <w:rFonts w:ascii="Arial" w:hAnsi="Arial"/>
          <w:b/>
          <w:w w:val="110"/>
          <w:sz w:val="20"/>
        </w:rPr>
        <w:t>organizează</w:t>
      </w:r>
      <w:r>
        <w:rPr>
          <w:rFonts w:ascii="Arial" w:hAnsi="Arial"/>
          <w:b/>
          <w:spacing w:val="-25"/>
          <w:w w:val="110"/>
          <w:sz w:val="20"/>
        </w:rPr>
        <w:t> </w:t>
      </w:r>
      <w:r>
        <w:rPr>
          <w:rFonts w:ascii="Arial" w:hAnsi="Arial"/>
          <w:b/>
          <w:w w:val="110"/>
          <w:sz w:val="20"/>
        </w:rPr>
        <w:t>o</w:t>
      </w:r>
      <w:r>
        <w:rPr>
          <w:rFonts w:ascii="Arial" w:hAnsi="Arial"/>
          <w:b/>
          <w:spacing w:val="-26"/>
          <w:w w:val="110"/>
          <w:sz w:val="20"/>
        </w:rPr>
        <w:t> </w:t>
      </w:r>
      <w:r>
        <w:rPr>
          <w:rFonts w:ascii="Arial" w:hAnsi="Arial"/>
          <w:b/>
          <w:w w:val="110"/>
          <w:sz w:val="20"/>
        </w:rPr>
        <w:t>manifestare</w:t>
      </w:r>
      <w:r>
        <w:rPr>
          <w:rFonts w:ascii="Arial" w:hAnsi="Arial"/>
          <w:b/>
          <w:spacing w:val="-25"/>
          <w:w w:val="110"/>
          <w:sz w:val="20"/>
        </w:rPr>
        <w:t> </w:t>
      </w:r>
      <w:r>
        <w:rPr>
          <w:rFonts w:ascii="Arial" w:hAnsi="Arial"/>
          <w:b/>
          <w:w w:val="110"/>
          <w:sz w:val="20"/>
        </w:rPr>
        <w:t>artistică,</w:t>
      </w:r>
      <w:r>
        <w:rPr>
          <w:rFonts w:ascii="Arial" w:hAnsi="Arial"/>
          <w:b/>
          <w:spacing w:val="-25"/>
          <w:w w:val="110"/>
          <w:sz w:val="20"/>
        </w:rPr>
        <w:t> </w:t>
      </w:r>
      <w:r>
        <w:rPr>
          <w:rFonts w:ascii="Arial" w:hAnsi="Arial"/>
          <w:b/>
          <w:w w:val="110"/>
          <w:sz w:val="20"/>
        </w:rPr>
        <w:t>o</w:t>
      </w:r>
      <w:r>
        <w:rPr>
          <w:rFonts w:ascii="Arial" w:hAnsi="Arial"/>
          <w:b/>
          <w:spacing w:val="-25"/>
          <w:w w:val="110"/>
          <w:sz w:val="20"/>
        </w:rPr>
        <w:t> </w:t>
      </w:r>
      <w:r>
        <w:rPr>
          <w:rFonts w:ascii="Arial" w:hAnsi="Arial"/>
          <w:b/>
          <w:w w:val="110"/>
          <w:sz w:val="20"/>
        </w:rPr>
        <w:t>competiţie</w:t>
      </w:r>
      <w:r>
        <w:rPr>
          <w:rFonts w:ascii="Arial" w:hAnsi="Arial"/>
          <w:b/>
          <w:spacing w:val="-26"/>
          <w:w w:val="110"/>
          <w:sz w:val="20"/>
        </w:rPr>
        <w:t> </w:t>
      </w:r>
      <w:r>
        <w:rPr>
          <w:rFonts w:ascii="Arial" w:hAnsi="Arial"/>
          <w:b/>
          <w:w w:val="110"/>
          <w:sz w:val="20"/>
        </w:rPr>
        <w:t>sportivăaltă</w:t>
      </w:r>
      <w:r>
        <w:rPr>
          <w:rFonts w:ascii="Arial" w:hAnsi="Arial"/>
          <w:b/>
          <w:spacing w:val="-19"/>
          <w:w w:val="110"/>
          <w:sz w:val="20"/>
        </w:rPr>
        <w:t> </w:t>
      </w:r>
      <w:r>
        <w:rPr>
          <w:rFonts w:ascii="Arial" w:hAnsi="Arial"/>
          <w:b/>
          <w:w w:val="110"/>
          <w:sz w:val="20"/>
        </w:rPr>
        <w:t>activitate distractivă  </w:t>
      </w:r>
      <w:r>
        <w:rPr>
          <w:w w:val="110"/>
          <w:sz w:val="20"/>
        </w:rPr>
        <w:t>are obligaţia de a plăti impozitul pe spectacole care se calculează prin aplicarea cotei de  impozit la suma încasată din vânzarea biletelor de intrare şi a abonamentelor, exclusiv taxa pe valoarea adăugată, după cum urmează</w:t>
      </w:r>
      <w:r>
        <w:rPr>
          <w:spacing w:val="8"/>
          <w:w w:val="110"/>
          <w:sz w:val="20"/>
        </w:rPr>
        <w:t> </w:t>
      </w:r>
      <w:r>
        <w:rPr>
          <w:w w:val="110"/>
          <w:sz w:val="20"/>
        </w:rPr>
        <w:t>:</w:t>
      </w:r>
    </w:p>
    <w:p>
      <w:pPr>
        <w:pStyle w:val="ListParagraph"/>
        <w:numPr>
          <w:ilvl w:val="0"/>
          <w:numId w:val="29"/>
        </w:numPr>
        <w:tabs>
          <w:tab w:pos="339" w:val="left" w:leader="none"/>
        </w:tabs>
        <w:spacing w:line="271" w:lineRule="auto" w:before="103" w:after="0"/>
        <w:ind w:left="108" w:right="110" w:firstLine="0"/>
        <w:jc w:val="both"/>
        <w:rPr>
          <w:sz w:val="20"/>
        </w:rPr>
      </w:pPr>
      <w:r>
        <w:rPr>
          <w:rFonts w:ascii="Arial"/>
          <w:b/>
          <w:w w:val="115"/>
          <w:sz w:val="20"/>
        </w:rPr>
        <w:t>o</w:t>
      </w:r>
      <w:r>
        <w:rPr>
          <w:rFonts w:ascii="Arial"/>
          <w:b/>
          <w:spacing w:val="-21"/>
          <w:w w:val="115"/>
          <w:sz w:val="20"/>
        </w:rPr>
        <w:t> </w:t>
      </w:r>
      <w:r>
        <w:rPr>
          <w:rFonts w:ascii="Arial"/>
          <w:b/>
          <w:w w:val="115"/>
          <w:sz w:val="20"/>
        </w:rPr>
        <w:t>cota</w:t>
      </w:r>
      <w:r>
        <w:rPr>
          <w:rFonts w:ascii="Arial"/>
          <w:b/>
          <w:spacing w:val="-21"/>
          <w:w w:val="115"/>
          <w:sz w:val="20"/>
        </w:rPr>
        <w:t> </w:t>
      </w:r>
      <w:r>
        <w:rPr>
          <w:rFonts w:ascii="Arial"/>
          <w:b/>
          <w:w w:val="115"/>
          <w:sz w:val="20"/>
        </w:rPr>
        <w:t>de</w:t>
      </w:r>
      <w:r>
        <w:rPr>
          <w:rFonts w:ascii="Arial"/>
          <w:b/>
          <w:spacing w:val="-21"/>
          <w:w w:val="115"/>
          <w:sz w:val="20"/>
        </w:rPr>
        <w:t> </w:t>
      </w:r>
      <w:r>
        <w:rPr>
          <w:rFonts w:ascii="Arial"/>
          <w:b/>
          <w:w w:val="115"/>
          <w:sz w:val="20"/>
        </w:rPr>
        <w:t>impozit</w:t>
      </w:r>
      <w:r>
        <w:rPr>
          <w:rFonts w:ascii="Arial"/>
          <w:b/>
          <w:spacing w:val="-21"/>
          <w:w w:val="115"/>
          <w:sz w:val="20"/>
        </w:rPr>
        <w:t> </w:t>
      </w:r>
      <w:r>
        <w:rPr>
          <w:rFonts w:ascii="Arial"/>
          <w:b/>
          <w:w w:val="115"/>
          <w:sz w:val="20"/>
        </w:rPr>
        <w:t>egala</w:t>
      </w:r>
      <w:r>
        <w:rPr>
          <w:rFonts w:ascii="Arial"/>
          <w:b/>
          <w:spacing w:val="-21"/>
          <w:w w:val="115"/>
          <w:sz w:val="20"/>
        </w:rPr>
        <w:t> </w:t>
      </w:r>
      <w:r>
        <w:rPr>
          <w:rFonts w:ascii="Arial"/>
          <w:b/>
          <w:w w:val="115"/>
          <w:sz w:val="20"/>
        </w:rPr>
        <w:t>cu</w:t>
      </w:r>
      <w:r>
        <w:rPr>
          <w:rFonts w:ascii="Arial"/>
          <w:b/>
          <w:spacing w:val="-21"/>
          <w:w w:val="115"/>
          <w:sz w:val="20"/>
        </w:rPr>
        <w:t> </w:t>
      </w:r>
      <w:r>
        <w:rPr>
          <w:rFonts w:ascii="Arial"/>
          <w:b/>
          <w:w w:val="115"/>
          <w:sz w:val="20"/>
        </w:rPr>
        <w:t>2%</w:t>
      </w:r>
      <w:r>
        <w:rPr>
          <w:rFonts w:ascii="Arial"/>
          <w:b/>
          <w:spacing w:val="-48"/>
          <w:w w:val="115"/>
          <w:sz w:val="20"/>
        </w:rPr>
        <w:t> </w:t>
      </w:r>
      <w:r>
        <w:rPr>
          <w:w w:val="115"/>
          <w:sz w:val="20"/>
        </w:rPr>
        <w:t>in</w:t>
      </w:r>
      <w:r>
        <w:rPr>
          <w:spacing w:val="-10"/>
          <w:w w:val="115"/>
          <w:sz w:val="20"/>
        </w:rPr>
        <w:t> </w:t>
      </w:r>
      <w:r>
        <w:rPr>
          <w:w w:val="115"/>
          <w:sz w:val="20"/>
        </w:rPr>
        <w:t>cazul</w:t>
      </w:r>
      <w:r>
        <w:rPr>
          <w:spacing w:val="-9"/>
          <w:w w:val="115"/>
          <w:sz w:val="20"/>
        </w:rPr>
        <w:t> </w:t>
      </w:r>
      <w:r>
        <w:rPr>
          <w:w w:val="115"/>
          <w:sz w:val="20"/>
        </w:rPr>
        <w:t>unui</w:t>
      </w:r>
      <w:r>
        <w:rPr>
          <w:spacing w:val="-9"/>
          <w:w w:val="115"/>
          <w:sz w:val="20"/>
        </w:rPr>
        <w:t> </w:t>
      </w:r>
      <w:r>
        <w:rPr>
          <w:w w:val="115"/>
          <w:sz w:val="20"/>
        </w:rPr>
        <w:t>spectacol</w:t>
      </w:r>
      <w:r>
        <w:rPr>
          <w:spacing w:val="-9"/>
          <w:w w:val="115"/>
          <w:sz w:val="20"/>
        </w:rPr>
        <w:t> </w:t>
      </w:r>
      <w:r>
        <w:rPr>
          <w:w w:val="115"/>
          <w:sz w:val="20"/>
        </w:rPr>
        <w:t>de</w:t>
      </w:r>
      <w:r>
        <w:rPr>
          <w:spacing w:val="-9"/>
          <w:w w:val="115"/>
          <w:sz w:val="20"/>
        </w:rPr>
        <w:t> </w:t>
      </w:r>
      <w:r>
        <w:rPr>
          <w:w w:val="115"/>
          <w:sz w:val="20"/>
        </w:rPr>
        <w:t>teatru,</w:t>
      </w:r>
      <w:r>
        <w:rPr>
          <w:spacing w:val="-10"/>
          <w:w w:val="115"/>
          <w:sz w:val="20"/>
        </w:rPr>
        <w:t> </w:t>
      </w:r>
      <w:r>
        <w:rPr>
          <w:w w:val="115"/>
          <w:sz w:val="20"/>
        </w:rPr>
        <w:t>de</w:t>
      </w:r>
      <w:r>
        <w:rPr>
          <w:spacing w:val="-9"/>
          <w:w w:val="115"/>
          <w:sz w:val="20"/>
        </w:rPr>
        <w:t> </w:t>
      </w:r>
      <w:r>
        <w:rPr>
          <w:w w:val="115"/>
          <w:sz w:val="20"/>
        </w:rPr>
        <w:t>exemplu</w:t>
      </w:r>
      <w:r>
        <w:rPr>
          <w:spacing w:val="-9"/>
          <w:w w:val="115"/>
          <w:sz w:val="20"/>
        </w:rPr>
        <w:t> </w:t>
      </w:r>
      <w:r>
        <w:rPr>
          <w:w w:val="115"/>
          <w:sz w:val="20"/>
        </w:rPr>
        <w:t>o</w:t>
      </w:r>
      <w:r>
        <w:rPr>
          <w:spacing w:val="-9"/>
          <w:w w:val="115"/>
          <w:sz w:val="20"/>
        </w:rPr>
        <w:t> </w:t>
      </w:r>
      <w:r>
        <w:rPr>
          <w:w w:val="115"/>
          <w:sz w:val="20"/>
        </w:rPr>
        <w:t>piesa</w:t>
      </w:r>
      <w:r>
        <w:rPr>
          <w:spacing w:val="-9"/>
          <w:w w:val="115"/>
          <w:sz w:val="20"/>
        </w:rPr>
        <w:t> </w:t>
      </w:r>
      <w:r>
        <w:rPr>
          <w:w w:val="115"/>
          <w:sz w:val="20"/>
        </w:rPr>
        <w:t>de</w:t>
      </w:r>
      <w:r>
        <w:rPr>
          <w:spacing w:val="-10"/>
          <w:w w:val="115"/>
          <w:sz w:val="20"/>
        </w:rPr>
        <w:t> </w:t>
      </w:r>
      <w:r>
        <w:rPr>
          <w:w w:val="115"/>
          <w:sz w:val="20"/>
        </w:rPr>
        <w:t>teatru,</w:t>
      </w:r>
      <w:r>
        <w:rPr>
          <w:spacing w:val="-9"/>
          <w:w w:val="115"/>
          <w:sz w:val="20"/>
        </w:rPr>
        <w:t> </w:t>
      </w:r>
      <w:r>
        <w:rPr>
          <w:w w:val="115"/>
          <w:sz w:val="20"/>
        </w:rPr>
        <w:t>balet, opera, opereta, concert filarmonic sau alta manifestare muzicala, prezentarea unui film la cinematograf,un</w:t>
      </w:r>
      <w:r>
        <w:rPr>
          <w:spacing w:val="-4"/>
          <w:w w:val="115"/>
          <w:sz w:val="20"/>
        </w:rPr>
        <w:t> </w:t>
      </w:r>
      <w:r>
        <w:rPr>
          <w:w w:val="115"/>
          <w:sz w:val="20"/>
        </w:rPr>
        <w:t>spectacol</w:t>
      </w:r>
      <w:r>
        <w:rPr>
          <w:spacing w:val="-4"/>
          <w:w w:val="115"/>
          <w:sz w:val="20"/>
        </w:rPr>
        <w:t> </w:t>
      </w:r>
      <w:r>
        <w:rPr>
          <w:w w:val="115"/>
          <w:sz w:val="20"/>
        </w:rPr>
        <w:t>de</w:t>
      </w:r>
      <w:r>
        <w:rPr>
          <w:spacing w:val="-4"/>
          <w:w w:val="115"/>
          <w:sz w:val="20"/>
        </w:rPr>
        <w:t> </w:t>
      </w:r>
      <w:r>
        <w:rPr>
          <w:w w:val="115"/>
          <w:sz w:val="20"/>
        </w:rPr>
        <w:t>circ</w:t>
      </w:r>
      <w:r>
        <w:rPr>
          <w:spacing w:val="-4"/>
          <w:w w:val="115"/>
          <w:sz w:val="20"/>
        </w:rPr>
        <w:t> </w:t>
      </w:r>
      <w:r>
        <w:rPr>
          <w:w w:val="115"/>
          <w:sz w:val="20"/>
        </w:rPr>
        <w:t>sau</w:t>
      </w:r>
      <w:r>
        <w:rPr>
          <w:spacing w:val="-4"/>
          <w:w w:val="115"/>
          <w:sz w:val="20"/>
        </w:rPr>
        <w:t> </w:t>
      </w:r>
      <w:r>
        <w:rPr>
          <w:w w:val="115"/>
          <w:sz w:val="20"/>
        </w:rPr>
        <w:t>orice</w:t>
      </w:r>
      <w:r>
        <w:rPr>
          <w:spacing w:val="-4"/>
          <w:w w:val="115"/>
          <w:sz w:val="20"/>
        </w:rPr>
        <w:t> </w:t>
      </w:r>
      <w:r>
        <w:rPr>
          <w:w w:val="115"/>
          <w:sz w:val="20"/>
        </w:rPr>
        <w:t>competitie</w:t>
      </w:r>
      <w:r>
        <w:rPr>
          <w:spacing w:val="-4"/>
          <w:w w:val="115"/>
          <w:sz w:val="20"/>
        </w:rPr>
        <w:t> </w:t>
      </w:r>
      <w:r>
        <w:rPr>
          <w:w w:val="115"/>
          <w:sz w:val="20"/>
        </w:rPr>
        <w:t>sportiva</w:t>
      </w:r>
      <w:r>
        <w:rPr>
          <w:spacing w:val="-4"/>
          <w:w w:val="115"/>
          <w:sz w:val="20"/>
        </w:rPr>
        <w:t> </w:t>
      </w:r>
      <w:r>
        <w:rPr>
          <w:w w:val="115"/>
          <w:sz w:val="20"/>
        </w:rPr>
        <w:t>interna</w:t>
      </w:r>
      <w:r>
        <w:rPr>
          <w:spacing w:val="-4"/>
          <w:w w:val="115"/>
          <w:sz w:val="20"/>
        </w:rPr>
        <w:t> </w:t>
      </w:r>
      <w:r>
        <w:rPr>
          <w:w w:val="115"/>
          <w:sz w:val="20"/>
        </w:rPr>
        <w:t>sau</w:t>
      </w:r>
      <w:r>
        <w:rPr>
          <w:spacing w:val="-4"/>
          <w:w w:val="115"/>
          <w:sz w:val="20"/>
        </w:rPr>
        <w:t> </w:t>
      </w:r>
      <w:r>
        <w:rPr>
          <w:w w:val="115"/>
          <w:sz w:val="20"/>
        </w:rPr>
        <w:t>internationala</w:t>
      </w:r>
      <w:r>
        <w:rPr>
          <w:spacing w:val="-4"/>
          <w:w w:val="115"/>
          <w:sz w:val="20"/>
        </w:rPr>
        <w:t> </w:t>
      </w:r>
      <w:r>
        <w:rPr>
          <w:w w:val="115"/>
          <w:sz w:val="20"/>
        </w:rPr>
        <w:t>;</w:t>
      </w:r>
    </w:p>
    <w:p>
      <w:pPr>
        <w:pStyle w:val="ListParagraph"/>
        <w:numPr>
          <w:ilvl w:val="0"/>
          <w:numId w:val="29"/>
        </w:numPr>
        <w:tabs>
          <w:tab w:pos="339" w:val="left" w:leader="none"/>
        </w:tabs>
        <w:spacing w:line="376" w:lineRule="auto" w:before="109" w:after="0"/>
        <w:ind w:left="108" w:right="533" w:firstLine="0"/>
        <w:jc w:val="left"/>
        <w:rPr>
          <w:sz w:val="20"/>
        </w:rPr>
      </w:pPr>
      <w:r>
        <w:rPr>
          <w:rFonts w:ascii="Arial" w:hAnsi="Arial"/>
          <w:b/>
          <w:w w:val="115"/>
          <w:sz w:val="20"/>
        </w:rPr>
        <w:t>o</w:t>
      </w:r>
      <w:r>
        <w:rPr>
          <w:rFonts w:ascii="Arial" w:hAnsi="Arial"/>
          <w:b/>
          <w:spacing w:val="-41"/>
          <w:w w:val="115"/>
          <w:sz w:val="20"/>
        </w:rPr>
        <w:t> </w:t>
      </w:r>
      <w:r>
        <w:rPr>
          <w:rFonts w:ascii="Arial" w:hAnsi="Arial"/>
          <w:b/>
          <w:w w:val="115"/>
          <w:sz w:val="20"/>
        </w:rPr>
        <w:t>cota</w:t>
      </w:r>
      <w:r>
        <w:rPr>
          <w:rFonts w:ascii="Arial" w:hAnsi="Arial"/>
          <w:b/>
          <w:spacing w:val="-41"/>
          <w:w w:val="115"/>
          <w:sz w:val="20"/>
        </w:rPr>
        <w:t> </w:t>
      </w:r>
      <w:r>
        <w:rPr>
          <w:rFonts w:ascii="Arial" w:hAnsi="Arial"/>
          <w:b/>
          <w:w w:val="115"/>
          <w:sz w:val="20"/>
        </w:rPr>
        <w:t>de</w:t>
      </w:r>
      <w:r>
        <w:rPr>
          <w:rFonts w:ascii="Arial" w:hAnsi="Arial"/>
          <w:b/>
          <w:spacing w:val="-41"/>
          <w:w w:val="115"/>
          <w:sz w:val="20"/>
        </w:rPr>
        <w:t> </w:t>
      </w:r>
      <w:r>
        <w:rPr>
          <w:rFonts w:ascii="Arial" w:hAnsi="Arial"/>
          <w:b/>
          <w:w w:val="115"/>
          <w:sz w:val="20"/>
        </w:rPr>
        <w:t>impozite</w:t>
      </w:r>
      <w:r>
        <w:rPr>
          <w:rFonts w:ascii="Arial" w:hAnsi="Arial"/>
          <w:b/>
          <w:spacing w:val="-41"/>
          <w:w w:val="115"/>
          <w:sz w:val="20"/>
        </w:rPr>
        <w:t> </w:t>
      </w:r>
      <w:r>
        <w:rPr>
          <w:rFonts w:ascii="Arial" w:hAnsi="Arial"/>
          <w:b/>
          <w:w w:val="115"/>
          <w:sz w:val="20"/>
        </w:rPr>
        <w:t>egala</w:t>
      </w:r>
      <w:r>
        <w:rPr>
          <w:rFonts w:ascii="Arial" w:hAnsi="Arial"/>
          <w:b/>
          <w:spacing w:val="-41"/>
          <w:w w:val="115"/>
          <w:sz w:val="20"/>
        </w:rPr>
        <w:t> </w:t>
      </w:r>
      <w:r>
        <w:rPr>
          <w:rFonts w:ascii="Arial" w:hAnsi="Arial"/>
          <w:b/>
          <w:w w:val="115"/>
          <w:sz w:val="20"/>
        </w:rPr>
        <w:t>cu</w:t>
      </w:r>
      <w:r>
        <w:rPr>
          <w:rFonts w:ascii="Arial" w:hAnsi="Arial"/>
          <w:b/>
          <w:spacing w:val="-41"/>
          <w:w w:val="115"/>
          <w:sz w:val="20"/>
        </w:rPr>
        <w:t> </w:t>
      </w:r>
      <w:r>
        <w:rPr>
          <w:rFonts w:ascii="Arial" w:hAnsi="Arial"/>
          <w:b/>
          <w:w w:val="115"/>
          <w:sz w:val="20"/>
        </w:rPr>
        <w:t>5%</w:t>
      </w:r>
      <w:r>
        <w:rPr>
          <w:rFonts w:ascii="Arial" w:hAnsi="Arial"/>
          <w:b/>
          <w:spacing w:val="-54"/>
          <w:w w:val="115"/>
          <w:sz w:val="20"/>
        </w:rPr>
        <w:t> </w:t>
      </w:r>
      <w:r>
        <w:rPr>
          <w:w w:val="115"/>
          <w:sz w:val="20"/>
        </w:rPr>
        <w:t>in</w:t>
      </w:r>
      <w:r>
        <w:rPr>
          <w:spacing w:val="-29"/>
          <w:w w:val="115"/>
          <w:sz w:val="20"/>
        </w:rPr>
        <w:t> </w:t>
      </w:r>
      <w:r>
        <w:rPr>
          <w:w w:val="115"/>
          <w:sz w:val="20"/>
        </w:rPr>
        <w:t>cazul</w:t>
      </w:r>
      <w:r>
        <w:rPr>
          <w:spacing w:val="-30"/>
          <w:w w:val="115"/>
          <w:sz w:val="20"/>
        </w:rPr>
        <w:t> </w:t>
      </w:r>
      <w:r>
        <w:rPr>
          <w:w w:val="115"/>
          <w:sz w:val="20"/>
        </w:rPr>
        <w:t>oricarei</w:t>
      </w:r>
      <w:r>
        <w:rPr>
          <w:spacing w:val="-29"/>
          <w:w w:val="115"/>
          <w:sz w:val="20"/>
        </w:rPr>
        <w:t> </w:t>
      </w:r>
      <w:r>
        <w:rPr>
          <w:w w:val="115"/>
          <w:sz w:val="20"/>
        </w:rPr>
        <w:t>manifestari</w:t>
      </w:r>
      <w:r>
        <w:rPr>
          <w:spacing w:val="-29"/>
          <w:w w:val="115"/>
          <w:sz w:val="20"/>
        </w:rPr>
        <w:t> </w:t>
      </w:r>
      <w:r>
        <w:rPr>
          <w:w w:val="115"/>
          <w:sz w:val="20"/>
        </w:rPr>
        <w:t>artistice</w:t>
      </w:r>
      <w:r>
        <w:rPr>
          <w:spacing w:val="-29"/>
          <w:w w:val="115"/>
          <w:sz w:val="20"/>
        </w:rPr>
        <w:t> </w:t>
      </w:r>
      <w:r>
        <w:rPr>
          <w:w w:val="115"/>
          <w:sz w:val="20"/>
        </w:rPr>
        <w:t>decat</w:t>
      </w:r>
      <w:r>
        <w:rPr>
          <w:spacing w:val="-29"/>
          <w:w w:val="115"/>
          <w:sz w:val="20"/>
        </w:rPr>
        <w:t> </w:t>
      </w:r>
      <w:r>
        <w:rPr>
          <w:w w:val="115"/>
          <w:sz w:val="20"/>
        </w:rPr>
        <w:t>cele</w:t>
      </w:r>
      <w:r>
        <w:rPr>
          <w:spacing w:val="-30"/>
          <w:w w:val="115"/>
          <w:sz w:val="20"/>
        </w:rPr>
        <w:t> </w:t>
      </w:r>
      <w:r>
        <w:rPr>
          <w:w w:val="115"/>
          <w:sz w:val="20"/>
        </w:rPr>
        <w:t>enumerate</w:t>
      </w:r>
      <w:r>
        <w:rPr>
          <w:spacing w:val="-29"/>
          <w:w w:val="115"/>
          <w:sz w:val="20"/>
        </w:rPr>
        <w:t> </w:t>
      </w:r>
      <w:r>
        <w:rPr>
          <w:w w:val="115"/>
          <w:sz w:val="20"/>
        </w:rPr>
        <w:t>la</w:t>
      </w:r>
      <w:r>
        <w:rPr>
          <w:spacing w:val="-29"/>
          <w:w w:val="115"/>
          <w:sz w:val="20"/>
        </w:rPr>
        <w:t> </w:t>
      </w:r>
      <w:r>
        <w:rPr>
          <w:w w:val="115"/>
          <w:sz w:val="20"/>
        </w:rPr>
        <w:t>lit.</w:t>
      </w:r>
      <w:r>
        <w:rPr>
          <w:spacing w:val="-29"/>
          <w:w w:val="115"/>
          <w:sz w:val="20"/>
        </w:rPr>
        <w:t> </w:t>
      </w:r>
      <w:r>
        <w:rPr>
          <w:w w:val="115"/>
          <w:sz w:val="20"/>
        </w:rPr>
        <w:t>a). Spectacolele organizate in scopuri umanitare sunt scutite de la plata impozitului pe spectacol. Contribuabilii care datorează impozitul pe spectacole au obligaţia</w:t>
      </w:r>
      <w:r>
        <w:rPr>
          <w:spacing w:val="-17"/>
          <w:w w:val="115"/>
          <w:sz w:val="20"/>
        </w:rPr>
        <w:t> </w:t>
      </w:r>
      <w:r>
        <w:rPr>
          <w:w w:val="115"/>
          <w:sz w:val="20"/>
        </w:rPr>
        <w:t>de:</w:t>
      </w:r>
    </w:p>
    <w:p>
      <w:pPr>
        <w:pStyle w:val="ListParagraph"/>
        <w:numPr>
          <w:ilvl w:val="0"/>
          <w:numId w:val="30"/>
        </w:numPr>
        <w:tabs>
          <w:tab w:pos="382" w:val="left" w:leader="none"/>
        </w:tabs>
        <w:spacing w:line="271" w:lineRule="auto" w:before="2" w:after="0"/>
        <w:ind w:left="108" w:right="108" w:firstLine="0"/>
        <w:jc w:val="both"/>
        <w:rPr>
          <w:sz w:val="20"/>
        </w:rPr>
      </w:pPr>
      <w:r>
        <w:rPr>
          <w:w w:val="115"/>
          <w:sz w:val="20"/>
        </w:rPr>
        <w:t>a înregistra biletele de intrare şi/sau abonamentele la compartimentul de specialitate al autorităţii administraţiei</w:t>
      </w:r>
      <w:r>
        <w:rPr>
          <w:spacing w:val="-5"/>
          <w:w w:val="115"/>
          <w:sz w:val="20"/>
        </w:rPr>
        <w:t> </w:t>
      </w:r>
      <w:r>
        <w:rPr>
          <w:w w:val="115"/>
          <w:sz w:val="20"/>
        </w:rPr>
        <w:t>publice</w:t>
      </w:r>
      <w:r>
        <w:rPr>
          <w:spacing w:val="-5"/>
          <w:w w:val="115"/>
          <w:sz w:val="20"/>
        </w:rPr>
        <w:t> </w:t>
      </w:r>
      <w:r>
        <w:rPr>
          <w:w w:val="115"/>
          <w:sz w:val="20"/>
        </w:rPr>
        <w:t>locale</w:t>
      </w:r>
      <w:r>
        <w:rPr>
          <w:spacing w:val="-4"/>
          <w:w w:val="115"/>
          <w:sz w:val="20"/>
        </w:rPr>
        <w:t> </w:t>
      </w:r>
      <w:r>
        <w:rPr>
          <w:w w:val="115"/>
          <w:sz w:val="20"/>
        </w:rPr>
        <w:t>care</w:t>
      </w:r>
      <w:r>
        <w:rPr>
          <w:spacing w:val="-5"/>
          <w:w w:val="115"/>
          <w:sz w:val="20"/>
        </w:rPr>
        <w:t> </w:t>
      </w:r>
      <w:r>
        <w:rPr>
          <w:w w:val="115"/>
          <w:sz w:val="20"/>
        </w:rPr>
        <w:t>îşi</w:t>
      </w:r>
      <w:r>
        <w:rPr>
          <w:spacing w:val="-5"/>
          <w:w w:val="115"/>
          <w:sz w:val="20"/>
        </w:rPr>
        <w:t> </w:t>
      </w:r>
      <w:r>
        <w:rPr>
          <w:w w:val="115"/>
          <w:sz w:val="20"/>
        </w:rPr>
        <w:t>exercită</w:t>
      </w:r>
      <w:r>
        <w:rPr>
          <w:spacing w:val="-4"/>
          <w:w w:val="115"/>
          <w:sz w:val="20"/>
        </w:rPr>
        <w:t> </w:t>
      </w:r>
      <w:r>
        <w:rPr>
          <w:w w:val="115"/>
          <w:sz w:val="20"/>
        </w:rPr>
        <w:t>autoritatea</w:t>
      </w:r>
      <w:r>
        <w:rPr>
          <w:spacing w:val="-5"/>
          <w:w w:val="115"/>
          <w:sz w:val="20"/>
        </w:rPr>
        <w:t> </w:t>
      </w:r>
      <w:r>
        <w:rPr>
          <w:w w:val="115"/>
          <w:sz w:val="20"/>
        </w:rPr>
        <w:t>asupra</w:t>
      </w:r>
      <w:r>
        <w:rPr>
          <w:spacing w:val="-4"/>
          <w:w w:val="115"/>
          <w:sz w:val="20"/>
        </w:rPr>
        <w:t> </w:t>
      </w:r>
      <w:r>
        <w:rPr>
          <w:w w:val="115"/>
          <w:sz w:val="20"/>
        </w:rPr>
        <w:t>locului</w:t>
      </w:r>
      <w:r>
        <w:rPr>
          <w:spacing w:val="-5"/>
          <w:w w:val="115"/>
          <w:sz w:val="20"/>
        </w:rPr>
        <w:t> </w:t>
      </w:r>
      <w:r>
        <w:rPr>
          <w:w w:val="115"/>
          <w:sz w:val="20"/>
        </w:rPr>
        <w:t>unde</w:t>
      </w:r>
      <w:r>
        <w:rPr>
          <w:spacing w:val="-5"/>
          <w:w w:val="115"/>
          <w:sz w:val="20"/>
        </w:rPr>
        <w:t> </w:t>
      </w:r>
      <w:r>
        <w:rPr>
          <w:w w:val="115"/>
          <w:sz w:val="20"/>
        </w:rPr>
        <w:t>are</w:t>
      </w:r>
      <w:r>
        <w:rPr>
          <w:spacing w:val="-4"/>
          <w:w w:val="115"/>
          <w:sz w:val="20"/>
        </w:rPr>
        <w:t> </w:t>
      </w:r>
      <w:r>
        <w:rPr>
          <w:w w:val="115"/>
          <w:sz w:val="20"/>
        </w:rPr>
        <w:t>loc</w:t>
      </w:r>
      <w:r>
        <w:rPr>
          <w:spacing w:val="-5"/>
          <w:w w:val="115"/>
          <w:sz w:val="20"/>
        </w:rPr>
        <w:t> </w:t>
      </w:r>
      <w:r>
        <w:rPr>
          <w:w w:val="115"/>
          <w:sz w:val="20"/>
        </w:rPr>
        <w:t>spectacolul;</w:t>
      </w:r>
    </w:p>
    <w:p>
      <w:pPr>
        <w:pStyle w:val="ListParagraph"/>
        <w:numPr>
          <w:ilvl w:val="0"/>
          <w:numId w:val="30"/>
        </w:numPr>
        <w:tabs>
          <w:tab w:pos="364" w:val="left" w:leader="none"/>
        </w:tabs>
        <w:spacing w:line="271" w:lineRule="auto" w:before="108" w:after="0"/>
        <w:ind w:left="108" w:right="107" w:firstLine="0"/>
        <w:jc w:val="both"/>
        <w:rPr>
          <w:sz w:val="20"/>
        </w:rPr>
      </w:pPr>
      <w:r>
        <w:rPr>
          <w:w w:val="115"/>
          <w:sz w:val="20"/>
        </w:rPr>
        <w:t>a anunţa tarifele pentru spectacol în locul unde este programat să aibă loc spectacolul, precum şi în orice alt loc în care se vând bilete de intrare şi/sau</w:t>
      </w:r>
      <w:r>
        <w:rPr>
          <w:spacing w:val="-20"/>
          <w:w w:val="115"/>
          <w:sz w:val="20"/>
        </w:rPr>
        <w:t> </w:t>
      </w:r>
      <w:r>
        <w:rPr>
          <w:w w:val="115"/>
          <w:sz w:val="20"/>
        </w:rPr>
        <w:t>abonamente;</w:t>
      </w:r>
    </w:p>
    <w:p>
      <w:pPr>
        <w:pStyle w:val="ListParagraph"/>
        <w:numPr>
          <w:ilvl w:val="0"/>
          <w:numId w:val="30"/>
        </w:numPr>
        <w:tabs>
          <w:tab w:pos="955" w:val="left" w:leader="none"/>
        </w:tabs>
        <w:spacing w:line="271" w:lineRule="auto" w:before="1" w:after="0"/>
        <w:ind w:left="108" w:right="109" w:firstLine="683"/>
        <w:jc w:val="left"/>
        <w:rPr>
          <w:sz w:val="20"/>
        </w:rPr>
      </w:pPr>
      <w:r>
        <w:rPr>
          <w:w w:val="115"/>
          <w:sz w:val="20"/>
        </w:rPr>
        <w:t>a preciza tarifele pe biletele de intrare şi/sau abonamente şi de a nu încasa sume care depăşesc tarifele precizate pe biletele de intrare şi/sau</w:t>
      </w:r>
      <w:r>
        <w:rPr>
          <w:spacing w:val="-13"/>
          <w:w w:val="115"/>
          <w:sz w:val="20"/>
        </w:rPr>
        <w:t> </w:t>
      </w:r>
      <w:r>
        <w:rPr>
          <w:w w:val="115"/>
          <w:sz w:val="20"/>
        </w:rPr>
        <w:t>abonamente;</w:t>
      </w:r>
    </w:p>
    <w:p>
      <w:pPr>
        <w:pStyle w:val="ListParagraph"/>
        <w:numPr>
          <w:ilvl w:val="0"/>
          <w:numId w:val="30"/>
        </w:numPr>
        <w:tabs>
          <w:tab w:pos="919" w:val="left" w:leader="none"/>
        </w:tabs>
        <w:spacing w:line="240" w:lineRule="auto" w:before="1" w:after="0"/>
        <w:ind w:left="918" w:right="0" w:hanging="189"/>
        <w:jc w:val="left"/>
        <w:rPr>
          <w:sz w:val="20"/>
        </w:rPr>
      </w:pPr>
      <w:r>
        <w:rPr>
          <w:w w:val="115"/>
          <w:sz w:val="20"/>
        </w:rPr>
        <w:t>a</w:t>
      </w:r>
      <w:r>
        <w:rPr>
          <w:spacing w:val="-5"/>
          <w:w w:val="115"/>
          <w:sz w:val="20"/>
        </w:rPr>
        <w:t> </w:t>
      </w:r>
      <w:r>
        <w:rPr>
          <w:w w:val="115"/>
          <w:sz w:val="20"/>
        </w:rPr>
        <w:t>emite</w:t>
      </w:r>
      <w:r>
        <w:rPr>
          <w:spacing w:val="-5"/>
          <w:w w:val="115"/>
          <w:sz w:val="20"/>
        </w:rPr>
        <w:t> </w:t>
      </w:r>
      <w:r>
        <w:rPr>
          <w:w w:val="115"/>
          <w:sz w:val="20"/>
        </w:rPr>
        <w:t>un</w:t>
      </w:r>
      <w:r>
        <w:rPr>
          <w:spacing w:val="-5"/>
          <w:w w:val="115"/>
          <w:sz w:val="20"/>
        </w:rPr>
        <w:t> </w:t>
      </w:r>
      <w:r>
        <w:rPr>
          <w:w w:val="115"/>
          <w:sz w:val="20"/>
        </w:rPr>
        <w:t>bilet</w:t>
      </w:r>
      <w:r>
        <w:rPr>
          <w:spacing w:val="-5"/>
          <w:w w:val="115"/>
          <w:sz w:val="20"/>
        </w:rPr>
        <w:t> </w:t>
      </w:r>
      <w:r>
        <w:rPr>
          <w:w w:val="115"/>
          <w:sz w:val="20"/>
        </w:rPr>
        <w:t>de</w:t>
      </w:r>
      <w:r>
        <w:rPr>
          <w:spacing w:val="-5"/>
          <w:w w:val="115"/>
          <w:sz w:val="20"/>
        </w:rPr>
        <w:t> </w:t>
      </w:r>
      <w:r>
        <w:rPr>
          <w:w w:val="115"/>
          <w:sz w:val="20"/>
        </w:rPr>
        <w:t>intrare</w:t>
      </w:r>
      <w:r>
        <w:rPr>
          <w:spacing w:val="-5"/>
          <w:w w:val="115"/>
          <w:sz w:val="20"/>
        </w:rPr>
        <w:t> </w:t>
      </w:r>
      <w:r>
        <w:rPr>
          <w:w w:val="115"/>
          <w:sz w:val="20"/>
        </w:rPr>
        <w:t>şi/sau</w:t>
      </w:r>
      <w:r>
        <w:rPr>
          <w:spacing w:val="-5"/>
          <w:w w:val="115"/>
          <w:sz w:val="20"/>
        </w:rPr>
        <w:t> </w:t>
      </w:r>
      <w:r>
        <w:rPr>
          <w:w w:val="115"/>
          <w:sz w:val="20"/>
        </w:rPr>
        <w:t>abonament</w:t>
      </w:r>
      <w:r>
        <w:rPr>
          <w:spacing w:val="-5"/>
          <w:w w:val="115"/>
          <w:sz w:val="20"/>
        </w:rPr>
        <w:t> </w:t>
      </w:r>
      <w:r>
        <w:rPr>
          <w:w w:val="115"/>
          <w:sz w:val="20"/>
        </w:rPr>
        <w:t>pentru</w:t>
      </w:r>
      <w:r>
        <w:rPr>
          <w:spacing w:val="-5"/>
          <w:w w:val="115"/>
          <w:sz w:val="20"/>
        </w:rPr>
        <w:t> </w:t>
      </w:r>
      <w:r>
        <w:rPr>
          <w:w w:val="115"/>
          <w:sz w:val="20"/>
        </w:rPr>
        <w:t>toate</w:t>
      </w:r>
      <w:r>
        <w:rPr>
          <w:spacing w:val="-4"/>
          <w:w w:val="115"/>
          <w:sz w:val="20"/>
        </w:rPr>
        <w:t> </w:t>
      </w:r>
      <w:r>
        <w:rPr>
          <w:w w:val="115"/>
          <w:sz w:val="20"/>
        </w:rPr>
        <w:t>sumele</w:t>
      </w:r>
      <w:r>
        <w:rPr>
          <w:spacing w:val="-5"/>
          <w:w w:val="115"/>
          <w:sz w:val="20"/>
        </w:rPr>
        <w:t> </w:t>
      </w:r>
      <w:r>
        <w:rPr>
          <w:w w:val="115"/>
          <w:sz w:val="20"/>
        </w:rPr>
        <w:t>primite</w:t>
      </w:r>
      <w:r>
        <w:rPr>
          <w:spacing w:val="-5"/>
          <w:w w:val="115"/>
          <w:sz w:val="20"/>
        </w:rPr>
        <w:t> </w:t>
      </w:r>
      <w:r>
        <w:rPr>
          <w:w w:val="115"/>
          <w:sz w:val="20"/>
        </w:rPr>
        <w:t>de</w:t>
      </w:r>
      <w:r>
        <w:rPr>
          <w:spacing w:val="-5"/>
          <w:w w:val="115"/>
          <w:sz w:val="20"/>
        </w:rPr>
        <w:t> </w:t>
      </w:r>
      <w:r>
        <w:rPr>
          <w:w w:val="115"/>
          <w:sz w:val="20"/>
        </w:rPr>
        <w:t>la</w:t>
      </w:r>
      <w:r>
        <w:rPr>
          <w:spacing w:val="-5"/>
          <w:w w:val="115"/>
          <w:sz w:val="20"/>
        </w:rPr>
        <w:t> </w:t>
      </w:r>
      <w:r>
        <w:rPr>
          <w:w w:val="115"/>
          <w:sz w:val="20"/>
        </w:rPr>
        <w:t>spectatori;</w:t>
      </w:r>
    </w:p>
    <w:p>
      <w:pPr>
        <w:pStyle w:val="ListParagraph"/>
        <w:numPr>
          <w:ilvl w:val="0"/>
          <w:numId w:val="30"/>
        </w:numPr>
        <w:tabs>
          <w:tab w:pos="986" w:val="left" w:leader="none"/>
        </w:tabs>
        <w:spacing w:line="271" w:lineRule="auto" w:before="32" w:after="0"/>
        <w:ind w:left="108" w:right="112" w:firstLine="698"/>
        <w:jc w:val="left"/>
        <w:rPr>
          <w:sz w:val="20"/>
        </w:rPr>
      </w:pPr>
      <w:r>
        <w:rPr>
          <w:w w:val="115"/>
          <w:sz w:val="20"/>
        </w:rPr>
        <w:t>a</w:t>
      </w:r>
      <w:r>
        <w:rPr>
          <w:spacing w:val="-7"/>
          <w:w w:val="115"/>
          <w:sz w:val="20"/>
        </w:rPr>
        <w:t> </w:t>
      </w:r>
      <w:r>
        <w:rPr>
          <w:w w:val="115"/>
          <w:sz w:val="20"/>
        </w:rPr>
        <w:t>asigura,</w:t>
      </w:r>
      <w:r>
        <w:rPr>
          <w:spacing w:val="-7"/>
          <w:w w:val="115"/>
          <w:sz w:val="20"/>
        </w:rPr>
        <w:t> </w:t>
      </w:r>
      <w:r>
        <w:rPr>
          <w:w w:val="115"/>
          <w:sz w:val="20"/>
        </w:rPr>
        <w:t>la</w:t>
      </w:r>
      <w:r>
        <w:rPr>
          <w:spacing w:val="-6"/>
          <w:w w:val="115"/>
          <w:sz w:val="20"/>
        </w:rPr>
        <w:t> </w:t>
      </w:r>
      <w:r>
        <w:rPr>
          <w:w w:val="115"/>
          <w:sz w:val="20"/>
        </w:rPr>
        <w:t>cererea</w:t>
      </w:r>
      <w:r>
        <w:rPr>
          <w:spacing w:val="-6"/>
          <w:w w:val="115"/>
          <w:sz w:val="20"/>
        </w:rPr>
        <w:t> </w:t>
      </w:r>
      <w:r>
        <w:rPr>
          <w:w w:val="115"/>
          <w:sz w:val="20"/>
        </w:rPr>
        <w:t>compartimentului</w:t>
      </w:r>
      <w:r>
        <w:rPr>
          <w:spacing w:val="-6"/>
          <w:w w:val="115"/>
          <w:sz w:val="20"/>
        </w:rPr>
        <w:t> </w:t>
      </w:r>
      <w:r>
        <w:rPr>
          <w:w w:val="115"/>
          <w:sz w:val="20"/>
        </w:rPr>
        <w:t>de</w:t>
      </w:r>
      <w:r>
        <w:rPr>
          <w:spacing w:val="-6"/>
          <w:w w:val="115"/>
          <w:sz w:val="20"/>
        </w:rPr>
        <w:t> </w:t>
      </w:r>
      <w:r>
        <w:rPr>
          <w:w w:val="115"/>
          <w:sz w:val="20"/>
        </w:rPr>
        <w:t>specialitate</w:t>
      </w:r>
      <w:r>
        <w:rPr>
          <w:spacing w:val="-5"/>
          <w:w w:val="115"/>
          <w:sz w:val="20"/>
        </w:rPr>
        <w:t> </w:t>
      </w:r>
      <w:r>
        <w:rPr>
          <w:w w:val="115"/>
          <w:sz w:val="20"/>
        </w:rPr>
        <w:t>al</w:t>
      </w:r>
      <w:r>
        <w:rPr>
          <w:spacing w:val="-6"/>
          <w:w w:val="115"/>
          <w:sz w:val="20"/>
        </w:rPr>
        <w:t> </w:t>
      </w:r>
      <w:r>
        <w:rPr>
          <w:w w:val="115"/>
          <w:sz w:val="20"/>
        </w:rPr>
        <w:t>autorităţii</w:t>
      </w:r>
      <w:r>
        <w:rPr>
          <w:spacing w:val="-6"/>
          <w:w w:val="115"/>
          <w:sz w:val="20"/>
        </w:rPr>
        <w:t> </w:t>
      </w:r>
      <w:r>
        <w:rPr>
          <w:w w:val="115"/>
          <w:sz w:val="20"/>
        </w:rPr>
        <w:t>administraţiei</w:t>
      </w:r>
      <w:r>
        <w:rPr>
          <w:spacing w:val="-6"/>
          <w:w w:val="115"/>
          <w:sz w:val="20"/>
        </w:rPr>
        <w:t> </w:t>
      </w:r>
      <w:r>
        <w:rPr>
          <w:w w:val="115"/>
          <w:sz w:val="20"/>
        </w:rPr>
        <w:t>publice</w:t>
      </w:r>
      <w:r>
        <w:rPr>
          <w:spacing w:val="-6"/>
          <w:w w:val="115"/>
          <w:sz w:val="20"/>
        </w:rPr>
        <w:t> </w:t>
      </w:r>
      <w:r>
        <w:rPr>
          <w:w w:val="115"/>
          <w:sz w:val="20"/>
        </w:rPr>
        <w:t>locale, documentele justificative privind calculul şi plata impozitului pe</w:t>
      </w:r>
      <w:r>
        <w:rPr>
          <w:spacing w:val="-22"/>
          <w:w w:val="115"/>
          <w:sz w:val="20"/>
        </w:rPr>
        <w:t> </w:t>
      </w:r>
      <w:r>
        <w:rPr>
          <w:w w:val="115"/>
          <w:sz w:val="20"/>
        </w:rPr>
        <w:t>spectacole;</w:t>
      </w:r>
    </w:p>
    <w:p>
      <w:pPr>
        <w:pStyle w:val="ListParagraph"/>
        <w:numPr>
          <w:ilvl w:val="0"/>
          <w:numId w:val="30"/>
        </w:numPr>
        <w:tabs>
          <w:tab w:pos="337" w:val="left" w:leader="none"/>
        </w:tabs>
        <w:spacing w:line="271" w:lineRule="auto" w:before="109" w:after="0"/>
        <w:ind w:left="108" w:right="111" w:firstLine="0"/>
        <w:jc w:val="both"/>
        <w:rPr>
          <w:sz w:val="20"/>
        </w:rPr>
      </w:pPr>
      <w:r>
        <w:rPr>
          <w:w w:val="115"/>
          <w:sz w:val="20"/>
        </w:rPr>
        <w:t>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w:t>
      </w:r>
      <w:r>
        <w:rPr>
          <w:spacing w:val="-11"/>
          <w:w w:val="115"/>
          <w:sz w:val="20"/>
        </w:rPr>
        <w:t> </w:t>
      </w:r>
      <w:r>
        <w:rPr>
          <w:w w:val="115"/>
          <w:sz w:val="20"/>
        </w:rPr>
        <w:t>Sportului.</w:t>
      </w:r>
    </w:p>
    <w:p>
      <w:pPr>
        <w:spacing w:line="273" w:lineRule="auto" w:before="109"/>
        <w:ind w:left="107" w:right="121" w:firstLine="0"/>
        <w:jc w:val="both"/>
        <w:rPr>
          <w:rFonts w:ascii="Arial" w:hAnsi="Arial"/>
          <w:b/>
          <w:sz w:val="20"/>
        </w:rPr>
      </w:pPr>
      <w:r>
        <w:rPr>
          <w:w w:val="105"/>
          <w:sz w:val="20"/>
        </w:rPr>
        <w:t>Impozitul pe spectacole se plăteşte lunar până</w:t>
      </w:r>
      <w:r>
        <w:rPr>
          <w:rFonts w:ascii="Arial" w:hAnsi="Arial"/>
          <w:b/>
          <w:w w:val="105"/>
          <w:sz w:val="20"/>
        </w:rPr>
        <w:t>la data de 10, inclusiv, a lunii următoare celei în care a avut loc</w:t>
      </w:r>
      <w:r>
        <w:rPr>
          <w:rFonts w:ascii="Arial" w:hAnsi="Arial"/>
          <w:b/>
          <w:spacing w:val="-16"/>
          <w:w w:val="105"/>
          <w:sz w:val="20"/>
        </w:rPr>
        <w:t> </w:t>
      </w:r>
      <w:r>
        <w:rPr>
          <w:rFonts w:ascii="Arial" w:hAnsi="Arial"/>
          <w:b/>
          <w:w w:val="105"/>
          <w:sz w:val="20"/>
        </w:rPr>
        <w:t>spectacolul.</w:t>
      </w:r>
    </w:p>
    <w:p>
      <w:pPr>
        <w:pStyle w:val="ListParagraph"/>
        <w:numPr>
          <w:ilvl w:val="0"/>
          <w:numId w:val="28"/>
        </w:numPr>
        <w:tabs>
          <w:tab w:pos="441" w:val="left" w:leader="none"/>
        </w:tabs>
        <w:spacing w:line="240" w:lineRule="auto" w:before="120" w:after="0"/>
        <w:ind w:left="440" w:right="0" w:hanging="332"/>
        <w:jc w:val="both"/>
        <w:rPr>
          <w:sz w:val="20"/>
        </w:rPr>
      </w:pPr>
      <w:r>
        <w:rPr>
          <w:w w:val="115"/>
          <w:sz w:val="20"/>
        </w:rPr>
        <w:t>Taxa</w:t>
      </w:r>
      <w:r>
        <w:rPr>
          <w:spacing w:val="-3"/>
          <w:w w:val="115"/>
          <w:sz w:val="20"/>
        </w:rPr>
        <w:t> </w:t>
      </w:r>
      <w:r>
        <w:rPr>
          <w:w w:val="115"/>
          <w:sz w:val="20"/>
        </w:rPr>
        <w:t>pentru</w:t>
      </w:r>
      <w:r>
        <w:rPr>
          <w:spacing w:val="-3"/>
          <w:w w:val="115"/>
          <w:sz w:val="20"/>
        </w:rPr>
        <w:t> </w:t>
      </w:r>
      <w:r>
        <w:rPr>
          <w:w w:val="115"/>
          <w:sz w:val="20"/>
        </w:rPr>
        <w:t>eliberarea</w:t>
      </w:r>
      <w:r>
        <w:rPr>
          <w:spacing w:val="-3"/>
          <w:w w:val="115"/>
          <w:sz w:val="20"/>
        </w:rPr>
        <w:t> </w:t>
      </w:r>
      <w:r>
        <w:rPr>
          <w:w w:val="115"/>
          <w:sz w:val="20"/>
        </w:rPr>
        <w:t>de</w:t>
      </w:r>
      <w:r>
        <w:rPr>
          <w:spacing w:val="-3"/>
          <w:w w:val="115"/>
          <w:sz w:val="20"/>
        </w:rPr>
        <w:t> </w:t>
      </w:r>
      <w:r>
        <w:rPr>
          <w:w w:val="115"/>
          <w:sz w:val="20"/>
        </w:rPr>
        <w:t>copii</w:t>
      </w:r>
      <w:r>
        <w:rPr>
          <w:spacing w:val="-3"/>
          <w:w w:val="115"/>
          <w:sz w:val="20"/>
        </w:rPr>
        <w:t> </w:t>
      </w:r>
      <w:r>
        <w:rPr>
          <w:w w:val="115"/>
          <w:sz w:val="20"/>
        </w:rPr>
        <w:t>heliografice</w:t>
      </w:r>
      <w:r>
        <w:rPr>
          <w:spacing w:val="-2"/>
          <w:w w:val="115"/>
          <w:sz w:val="20"/>
        </w:rPr>
        <w:t> </w:t>
      </w:r>
      <w:r>
        <w:rPr>
          <w:w w:val="115"/>
          <w:sz w:val="20"/>
        </w:rPr>
        <w:t>de</w:t>
      </w:r>
      <w:r>
        <w:rPr>
          <w:spacing w:val="-3"/>
          <w:w w:val="115"/>
          <w:sz w:val="20"/>
        </w:rPr>
        <w:t> </w:t>
      </w:r>
      <w:r>
        <w:rPr>
          <w:w w:val="115"/>
          <w:sz w:val="20"/>
        </w:rPr>
        <w:t>pe</w:t>
      </w:r>
      <w:r>
        <w:rPr>
          <w:spacing w:val="-3"/>
          <w:w w:val="115"/>
          <w:sz w:val="20"/>
        </w:rPr>
        <w:t> </w:t>
      </w:r>
      <w:r>
        <w:rPr>
          <w:w w:val="115"/>
          <w:sz w:val="20"/>
        </w:rPr>
        <w:t>planuri</w:t>
      </w:r>
      <w:r>
        <w:rPr>
          <w:spacing w:val="-3"/>
          <w:w w:val="115"/>
          <w:sz w:val="20"/>
        </w:rPr>
        <w:t> </w:t>
      </w:r>
      <w:r>
        <w:rPr>
          <w:w w:val="115"/>
          <w:sz w:val="20"/>
        </w:rPr>
        <w:t>cadastrale</w:t>
      </w:r>
      <w:r>
        <w:rPr>
          <w:spacing w:val="-3"/>
          <w:w w:val="115"/>
          <w:sz w:val="20"/>
        </w:rPr>
        <w:t> </w:t>
      </w:r>
      <w:r>
        <w:rPr>
          <w:w w:val="115"/>
          <w:sz w:val="20"/>
        </w:rPr>
        <w:t>este</w:t>
      </w:r>
      <w:r>
        <w:rPr>
          <w:spacing w:val="-3"/>
          <w:w w:val="115"/>
          <w:sz w:val="20"/>
        </w:rPr>
        <w:t> </w:t>
      </w:r>
      <w:r>
        <w:rPr>
          <w:w w:val="115"/>
          <w:sz w:val="20"/>
        </w:rPr>
        <w:t>de</w:t>
      </w:r>
      <w:r>
        <w:rPr>
          <w:spacing w:val="-2"/>
          <w:w w:val="115"/>
          <w:sz w:val="20"/>
        </w:rPr>
        <w:t> </w:t>
      </w:r>
      <w:r>
        <w:rPr>
          <w:w w:val="115"/>
          <w:sz w:val="20"/>
        </w:rPr>
        <w:t>36</w:t>
      </w:r>
      <w:r>
        <w:rPr>
          <w:spacing w:val="-3"/>
          <w:w w:val="115"/>
          <w:sz w:val="20"/>
        </w:rPr>
        <w:t> </w:t>
      </w:r>
      <w:r>
        <w:rPr>
          <w:w w:val="115"/>
          <w:sz w:val="20"/>
        </w:rPr>
        <w:t>lei</w:t>
      </w:r>
      <w:r>
        <w:rPr>
          <w:spacing w:val="-3"/>
          <w:w w:val="115"/>
          <w:sz w:val="20"/>
        </w:rPr>
        <w:t> </w:t>
      </w:r>
      <w:r>
        <w:rPr>
          <w:w w:val="115"/>
          <w:sz w:val="20"/>
        </w:rPr>
        <w:t>m.p.</w:t>
      </w:r>
    </w:p>
    <w:p>
      <w:pPr>
        <w:pStyle w:val="ListParagraph"/>
        <w:numPr>
          <w:ilvl w:val="0"/>
          <w:numId w:val="28"/>
        </w:numPr>
        <w:tabs>
          <w:tab w:pos="441" w:val="left" w:leader="none"/>
        </w:tabs>
        <w:spacing w:line="240" w:lineRule="auto" w:before="140" w:after="0"/>
        <w:ind w:left="440" w:right="0" w:hanging="332"/>
        <w:jc w:val="both"/>
        <w:rPr>
          <w:sz w:val="20"/>
        </w:rPr>
      </w:pPr>
      <w:r>
        <w:rPr>
          <w:w w:val="115"/>
          <w:sz w:val="20"/>
        </w:rPr>
        <w:t>Taxa pentru eliberare adeverinta registru agricol este de 11</w:t>
      </w:r>
      <w:r>
        <w:rPr>
          <w:spacing w:val="-16"/>
          <w:w w:val="115"/>
          <w:sz w:val="20"/>
        </w:rPr>
        <w:t> </w:t>
      </w:r>
      <w:r>
        <w:rPr>
          <w:w w:val="115"/>
          <w:sz w:val="20"/>
        </w:rPr>
        <w:t>lei.</w:t>
      </w:r>
    </w:p>
    <w:p>
      <w:pPr>
        <w:pStyle w:val="ListParagraph"/>
        <w:numPr>
          <w:ilvl w:val="0"/>
          <w:numId w:val="28"/>
        </w:numPr>
        <w:tabs>
          <w:tab w:pos="441" w:val="left" w:leader="none"/>
        </w:tabs>
        <w:spacing w:line="240" w:lineRule="auto" w:before="140" w:after="0"/>
        <w:ind w:left="440" w:right="0" w:hanging="332"/>
        <w:jc w:val="both"/>
        <w:rPr>
          <w:sz w:val="20"/>
        </w:rPr>
      </w:pPr>
      <w:r>
        <w:rPr>
          <w:w w:val="115"/>
          <w:sz w:val="20"/>
        </w:rPr>
        <w:t>Taxa pentru eliberare certificat fiscal este de 11</w:t>
      </w:r>
      <w:r>
        <w:rPr>
          <w:spacing w:val="-14"/>
          <w:w w:val="115"/>
          <w:sz w:val="20"/>
        </w:rPr>
        <w:t> </w:t>
      </w:r>
      <w:r>
        <w:rPr>
          <w:w w:val="115"/>
          <w:sz w:val="20"/>
        </w:rPr>
        <w:t>lei.</w:t>
      </w:r>
    </w:p>
    <w:p>
      <w:pPr>
        <w:pStyle w:val="ListParagraph"/>
        <w:numPr>
          <w:ilvl w:val="0"/>
          <w:numId w:val="28"/>
        </w:numPr>
        <w:tabs>
          <w:tab w:pos="441" w:val="left" w:leader="none"/>
        </w:tabs>
        <w:spacing w:line="240" w:lineRule="auto" w:before="139" w:after="0"/>
        <w:ind w:left="440" w:right="0" w:hanging="332"/>
        <w:jc w:val="both"/>
        <w:rPr>
          <w:sz w:val="20"/>
        </w:rPr>
      </w:pPr>
      <w:r>
        <w:rPr>
          <w:w w:val="115"/>
          <w:sz w:val="20"/>
        </w:rPr>
        <w:t>Taxa pentru eliberare anexa 24 este de 11</w:t>
      </w:r>
      <w:r>
        <w:rPr>
          <w:spacing w:val="-10"/>
          <w:w w:val="115"/>
          <w:sz w:val="20"/>
        </w:rPr>
        <w:t> </w:t>
      </w:r>
      <w:r>
        <w:rPr>
          <w:w w:val="115"/>
          <w:sz w:val="20"/>
        </w:rPr>
        <w:t>lei.</w:t>
      </w:r>
    </w:p>
    <w:p>
      <w:pPr>
        <w:pStyle w:val="ListParagraph"/>
        <w:numPr>
          <w:ilvl w:val="0"/>
          <w:numId w:val="28"/>
        </w:numPr>
        <w:tabs>
          <w:tab w:pos="492" w:val="left" w:leader="none"/>
        </w:tabs>
        <w:spacing w:line="240" w:lineRule="auto" w:before="140" w:after="0"/>
        <w:ind w:left="491" w:right="0" w:hanging="383"/>
        <w:jc w:val="both"/>
        <w:rPr>
          <w:sz w:val="20"/>
        </w:rPr>
      </w:pPr>
      <w:r>
        <w:rPr>
          <w:w w:val="115"/>
          <w:sz w:val="20"/>
        </w:rPr>
        <w:t>Taxa oficiere casatorie cu persoane straine este de 243</w:t>
      </w:r>
      <w:r>
        <w:rPr>
          <w:spacing w:val="-15"/>
          <w:w w:val="115"/>
          <w:sz w:val="20"/>
        </w:rPr>
        <w:t> </w:t>
      </w:r>
      <w:r>
        <w:rPr>
          <w:w w:val="115"/>
          <w:sz w:val="20"/>
        </w:rPr>
        <w:t>lei.</w:t>
      </w:r>
    </w:p>
    <w:p>
      <w:pPr>
        <w:pStyle w:val="BodyText"/>
        <w:spacing w:before="140"/>
        <w:ind w:left="107"/>
      </w:pPr>
      <w:r>
        <w:rPr>
          <w:w w:val="115"/>
        </w:rPr>
        <w:t>29 . Taxa oficiere casatorie in zilele de sambata si duminica este de 114 lei.</w:t>
      </w:r>
    </w:p>
    <w:p>
      <w:pPr>
        <w:pStyle w:val="ListParagraph"/>
        <w:numPr>
          <w:ilvl w:val="0"/>
          <w:numId w:val="31"/>
        </w:numPr>
        <w:tabs>
          <w:tab w:pos="492" w:val="left" w:leader="none"/>
        </w:tabs>
        <w:spacing w:line="240" w:lineRule="auto" w:before="139" w:after="0"/>
        <w:ind w:left="491" w:right="0" w:hanging="383"/>
        <w:jc w:val="both"/>
        <w:rPr>
          <w:sz w:val="20"/>
        </w:rPr>
      </w:pPr>
      <w:r>
        <w:rPr>
          <w:w w:val="115"/>
          <w:sz w:val="20"/>
        </w:rPr>
        <w:t>Taxă oficiere căsătorie în afara sediului primăriei este de 200</w:t>
      </w:r>
      <w:r>
        <w:rPr>
          <w:spacing w:val="-18"/>
          <w:w w:val="115"/>
          <w:sz w:val="20"/>
        </w:rPr>
        <w:t> </w:t>
      </w:r>
      <w:r>
        <w:rPr>
          <w:w w:val="115"/>
          <w:sz w:val="20"/>
        </w:rPr>
        <w:t>lei.</w:t>
      </w:r>
    </w:p>
    <w:p>
      <w:pPr>
        <w:pStyle w:val="ListParagraph"/>
        <w:numPr>
          <w:ilvl w:val="0"/>
          <w:numId w:val="31"/>
        </w:numPr>
        <w:tabs>
          <w:tab w:pos="441" w:val="left" w:leader="none"/>
        </w:tabs>
        <w:spacing w:line="240" w:lineRule="auto" w:before="140" w:after="0"/>
        <w:ind w:left="440" w:right="0" w:hanging="332"/>
        <w:jc w:val="both"/>
        <w:rPr>
          <w:sz w:val="20"/>
        </w:rPr>
      </w:pPr>
      <w:r>
        <w:rPr>
          <w:w w:val="115"/>
          <w:sz w:val="20"/>
        </w:rPr>
        <w:t>Taxa oficiere casatorie in afara zilelor de sambata si duminica este de 56</w:t>
      </w:r>
      <w:r>
        <w:rPr>
          <w:spacing w:val="-26"/>
          <w:w w:val="115"/>
          <w:sz w:val="20"/>
        </w:rPr>
        <w:t> </w:t>
      </w:r>
      <w:r>
        <w:rPr>
          <w:w w:val="115"/>
          <w:sz w:val="20"/>
        </w:rPr>
        <w:t>lei.</w:t>
      </w:r>
    </w:p>
    <w:p>
      <w:pPr>
        <w:pStyle w:val="ListParagraph"/>
        <w:numPr>
          <w:ilvl w:val="0"/>
          <w:numId w:val="31"/>
        </w:numPr>
        <w:tabs>
          <w:tab w:pos="596" w:val="left" w:leader="none"/>
        </w:tabs>
        <w:spacing w:line="240" w:lineRule="auto" w:before="140" w:after="0"/>
        <w:ind w:left="595" w:right="0" w:hanging="436"/>
        <w:jc w:val="both"/>
        <w:rPr>
          <w:sz w:val="20"/>
        </w:rPr>
      </w:pPr>
      <w:r>
        <w:rPr>
          <w:w w:val="115"/>
          <w:sz w:val="20"/>
        </w:rPr>
        <w:t>Taxa divort este de 561</w:t>
      </w:r>
      <w:r>
        <w:rPr>
          <w:spacing w:val="-6"/>
          <w:w w:val="115"/>
          <w:sz w:val="20"/>
        </w:rPr>
        <w:t> </w:t>
      </w:r>
      <w:r>
        <w:rPr>
          <w:w w:val="115"/>
          <w:sz w:val="20"/>
        </w:rPr>
        <w:t>lei.</w:t>
      </w:r>
    </w:p>
    <w:p>
      <w:pPr>
        <w:spacing w:after="0" w:line="240" w:lineRule="auto"/>
        <w:jc w:val="both"/>
        <w:rPr>
          <w:sz w:val="20"/>
        </w:rPr>
        <w:sectPr>
          <w:pgSz w:w="11900" w:h="16840"/>
          <w:pgMar w:header="0" w:footer="360" w:top="500" w:bottom="560" w:left="1140" w:right="740"/>
        </w:sectPr>
      </w:pPr>
    </w:p>
    <w:p>
      <w:pPr>
        <w:pStyle w:val="ListParagraph"/>
        <w:numPr>
          <w:ilvl w:val="0"/>
          <w:numId w:val="31"/>
        </w:numPr>
        <w:tabs>
          <w:tab w:pos="544" w:val="left" w:leader="none"/>
        </w:tabs>
        <w:spacing w:line="240" w:lineRule="auto" w:before="100" w:after="0"/>
        <w:ind w:left="543" w:right="0" w:hanging="384"/>
        <w:jc w:val="left"/>
        <w:rPr>
          <w:sz w:val="20"/>
        </w:rPr>
      </w:pPr>
      <w:r>
        <w:rPr>
          <w:w w:val="115"/>
          <w:sz w:val="20"/>
        </w:rPr>
        <w:t>Taxa masuratori teren agricol la solicitare este de 34</w:t>
      </w:r>
      <w:r>
        <w:rPr>
          <w:spacing w:val="-13"/>
          <w:w w:val="115"/>
          <w:sz w:val="20"/>
        </w:rPr>
        <w:t> </w:t>
      </w:r>
      <w:r>
        <w:rPr>
          <w:w w:val="115"/>
          <w:sz w:val="20"/>
        </w:rPr>
        <w:t>le</w:t>
      </w:r>
    </w:p>
    <w:p>
      <w:pPr>
        <w:pStyle w:val="ListParagraph"/>
        <w:numPr>
          <w:ilvl w:val="0"/>
          <w:numId w:val="31"/>
        </w:numPr>
        <w:tabs>
          <w:tab w:pos="441" w:val="left" w:leader="none"/>
        </w:tabs>
        <w:spacing w:line="240" w:lineRule="auto" w:before="140" w:after="0"/>
        <w:ind w:left="440" w:right="0" w:hanging="332"/>
        <w:jc w:val="left"/>
        <w:rPr>
          <w:sz w:val="20"/>
        </w:rPr>
      </w:pPr>
      <w:r>
        <w:rPr>
          <w:w w:val="115"/>
          <w:sz w:val="20"/>
        </w:rPr>
        <w:t>Taxa eliberare adeverinta de venit este de 5</w:t>
      </w:r>
      <w:r>
        <w:rPr>
          <w:spacing w:val="-12"/>
          <w:w w:val="115"/>
          <w:sz w:val="20"/>
        </w:rPr>
        <w:t> </w:t>
      </w:r>
      <w:r>
        <w:rPr>
          <w:w w:val="115"/>
          <w:sz w:val="20"/>
        </w:rPr>
        <w:t>lei.</w:t>
      </w:r>
    </w:p>
    <w:p>
      <w:pPr>
        <w:pStyle w:val="ListParagraph"/>
        <w:numPr>
          <w:ilvl w:val="0"/>
          <w:numId w:val="31"/>
        </w:numPr>
        <w:tabs>
          <w:tab w:pos="441" w:val="left" w:leader="none"/>
        </w:tabs>
        <w:spacing w:line="240" w:lineRule="auto" w:before="140" w:after="0"/>
        <w:ind w:left="440" w:right="0" w:hanging="332"/>
        <w:jc w:val="left"/>
        <w:rPr>
          <w:sz w:val="20"/>
        </w:rPr>
      </w:pPr>
      <w:r>
        <w:rPr>
          <w:w w:val="115"/>
          <w:sz w:val="20"/>
        </w:rPr>
        <w:t>Taxa eliberare duplicate acte stare civila este de 23</w:t>
      </w:r>
      <w:r>
        <w:rPr>
          <w:spacing w:val="-15"/>
          <w:w w:val="115"/>
          <w:sz w:val="20"/>
        </w:rPr>
        <w:t> </w:t>
      </w:r>
      <w:r>
        <w:rPr>
          <w:w w:val="115"/>
          <w:sz w:val="20"/>
        </w:rPr>
        <w:t>lei.</w:t>
      </w:r>
    </w:p>
    <w:p>
      <w:pPr>
        <w:pStyle w:val="ListParagraph"/>
        <w:numPr>
          <w:ilvl w:val="0"/>
          <w:numId w:val="31"/>
        </w:numPr>
        <w:tabs>
          <w:tab w:pos="441" w:val="left" w:leader="none"/>
        </w:tabs>
        <w:spacing w:line="240" w:lineRule="auto" w:before="139" w:after="0"/>
        <w:ind w:left="440" w:right="0" w:hanging="332"/>
        <w:jc w:val="left"/>
        <w:rPr>
          <w:sz w:val="20"/>
        </w:rPr>
      </w:pPr>
      <w:r>
        <w:rPr>
          <w:w w:val="110"/>
          <w:sz w:val="20"/>
        </w:rPr>
        <w:t>Taxă procesare dosar transcriere certificate eliberate de autoritățile străine 105 lei</w:t>
      </w:r>
      <w:r>
        <w:rPr>
          <w:spacing w:val="10"/>
          <w:w w:val="110"/>
          <w:sz w:val="20"/>
        </w:rPr>
        <w:t> </w:t>
      </w:r>
      <w:r>
        <w:rPr>
          <w:w w:val="110"/>
          <w:sz w:val="20"/>
        </w:rPr>
        <w:t>;</w:t>
      </w:r>
    </w:p>
    <w:p>
      <w:pPr>
        <w:pStyle w:val="ListParagraph"/>
        <w:numPr>
          <w:ilvl w:val="0"/>
          <w:numId w:val="31"/>
        </w:numPr>
        <w:tabs>
          <w:tab w:pos="441" w:val="left" w:leader="none"/>
        </w:tabs>
        <w:spacing w:line="240" w:lineRule="auto" w:before="140" w:after="0"/>
        <w:ind w:left="440" w:right="0" w:hanging="332"/>
        <w:jc w:val="left"/>
        <w:rPr>
          <w:sz w:val="20"/>
        </w:rPr>
      </w:pPr>
      <w:r>
        <w:rPr>
          <w:w w:val="115"/>
          <w:sz w:val="20"/>
        </w:rPr>
        <w:t>Taxa stradala este de 57</w:t>
      </w:r>
      <w:r>
        <w:rPr>
          <w:spacing w:val="-5"/>
          <w:w w:val="115"/>
          <w:sz w:val="20"/>
        </w:rPr>
        <w:t> </w:t>
      </w:r>
      <w:r>
        <w:rPr>
          <w:w w:val="115"/>
          <w:sz w:val="20"/>
        </w:rPr>
        <w:t>lei.</w:t>
      </w:r>
    </w:p>
    <w:p>
      <w:pPr>
        <w:pStyle w:val="ListParagraph"/>
        <w:numPr>
          <w:ilvl w:val="0"/>
          <w:numId w:val="31"/>
        </w:numPr>
        <w:tabs>
          <w:tab w:pos="449" w:val="left" w:leader="none"/>
        </w:tabs>
        <w:spacing w:line="271" w:lineRule="auto" w:before="140" w:after="0"/>
        <w:ind w:left="108" w:right="108" w:firstLine="0"/>
        <w:jc w:val="left"/>
        <w:rPr>
          <w:sz w:val="20"/>
        </w:rPr>
      </w:pPr>
      <w:r>
        <w:rPr>
          <w:w w:val="115"/>
          <w:sz w:val="20"/>
        </w:rPr>
        <w:t>Taxa chirie casa sociala Cozia, proprietate publica apartinand comunei Costuleni este de 1 leu m.p. si se achita</w:t>
      </w:r>
      <w:r>
        <w:rPr>
          <w:spacing w:val="-2"/>
          <w:w w:val="115"/>
          <w:sz w:val="20"/>
        </w:rPr>
        <w:t> </w:t>
      </w:r>
      <w:r>
        <w:rPr>
          <w:w w:val="115"/>
          <w:sz w:val="20"/>
        </w:rPr>
        <w:t>lunar.</w:t>
      </w:r>
    </w:p>
    <w:p>
      <w:pPr>
        <w:pStyle w:val="ListParagraph"/>
        <w:numPr>
          <w:ilvl w:val="0"/>
          <w:numId w:val="31"/>
        </w:numPr>
        <w:tabs>
          <w:tab w:pos="441" w:val="left" w:leader="none"/>
        </w:tabs>
        <w:spacing w:line="240" w:lineRule="auto" w:before="108" w:after="0"/>
        <w:ind w:left="440" w:right="0" w:hanging="332"/>
        <w:jc w:val="left"/>
        <w:rPr>
          <w:sz w:val="20"/>
        </w:rPr>
      </w:pPr>
      <w:r>
        <w:rPr>
          <w:w w:val="115"/>
          <w:sz w:val="20"/>
        </w:rPr>
        <w:t>Taxa chirii spatii comerciale - 5 lei m.p.,si se achita</w:t>
      </w:r>
      <w:r>
        <w:rPr>
          <w:spacing w:val="-17"/>
          <w:w w:val="115"/>
          <w:sz w:val="20"/>
        </w:rPr>
        <w:t> </w:t>
      </w:r>
      <w:r>
        <w:rPr>
          <w:w w:val="115"/>
          <w:sz w:val="20"/>
        </w:rPr>
        <w:t>lunar.</w:t>
      </w:r>
    </w:p>
    <w:p>
      <w:pPr>
        <w:pStyle w:val="ListParagraph"/>
        <w:numPr>
          <w:ilvl w:val="0"/>
          <w:numId w:val="31"/>
        </w:numPr>
        <w:tabs>
          <w:tab w:pos="441" w:val="left" w:leader="none"/>
        </w:tabs>
        <w:spacing w:line="376" w:lineRule="auto" w:before="140" w:after="0"/>
        <w:ind w:left="108" w:right="4377" w:firstLine="0"/>
        <w:jc w:val="left"/>
        <w:rPr>
          <w:sz w:val="20"/>
        </w:rPr>
      </w:pPr>
      <w:r>
        <w:rPr>
          <w:w w:val="110"/>
          <w:sz w:val="20"/>
        </w:rPr>
        <w:t>Redeventa spatii medicale - 2 lei. m.p. si se achita lunar. 41 . Eliberat numar caruta – 28</w:t>
      </w:r>
      <w:r>
        <w:rPr>
          <w:spacing w:val="18"/>
          <w:w w:val="110"/>
          <w:sz w:val="20"/>
        </w:rPr>
        <w:t> </w:t>
      </w:r>
      <w:r>
        <w:rPr>
          <w:w w:val="110"/>
          <w:sz w:val="20"/>
        </w:rPr>
        <w:t>lei.</w:t>
      </w:r>
    </w:p>
    <w:p>
      <w:pPr>
        <w:pStyle w:val="ListParagraph"/>
        <w:numPr>
          <w:ilvl w:val="0"/>
          <w:numId w:val="32"/>
        </w:numPr>
        <w:tabs>
          <w:tab w:pos="441" w:val="left" w:leader="none"/>
        </w:tabs>
        <w:spacing w:line="240" w:lineRule="auto" w:before="1" w:after="0"/>
        <w:ind w:left="440" w:right="0" w:hanging="332"/>
        <w:jc w:val="left"/>
        <w:rPr>
          <w:sz w:val="20"/>
        </w:rPr>
      </w:pPr>
      <w:r>
        <w:rPr>
          <w:w w:val="115"/>
          <w:sz w:val="20"/>
        </w:rPr>
        <w:t>Eliberat numar tractor – 50</w:t>
      </w:r>
      <w:r>
        <w:rPr>
          <w:spacing w:val="-7"/>
          <w:w w:val="115"/>
          <w:sz w:val="20"/>
        </w:rPr>
        <w:t> </w:t>
      </w:r>
      <w:r>
        <w:rPr>
          <w:w w:val="115"/>
          <w:sz w:val="20"/>
        </w:rPr>
        <w:t>lei.</w:t>
      </w:r>
    </w:p>
    <w:p>
      <w:pPr>
        <w:pStyle w:val="ListParagraph"/>
        <w:numPr>
          <w:ilvl w:val="0"/>
          <w:numId w:val="32"/>
        </w:numPr>
        <w:tabs>
          <w:tab w:pos="441" w:val="left" w:leader="none"/>
        </w:tabs>
        <w:spacing w:line="240" w:lineRule="auto" w:before="140" w:after="0"/>
        <w:ind w:left="440" w:right="0" w:hanging="332"/>
        <w:jc w:val="left"/>
        <w:rPr>
          <w:sz w:val="20"/>
        </w:rPr>
      </w:pPr>
      <w:r>
        <w:rPr>
          <w:w w:val="110"/>
          <w:sz w:val="20"/>
        </w:rPr>
        <w:t>Eliberat certificate inregistrare scutere si tractoare – 11</w:t>
      </w:r>
      <w:r>
        <w:rPr>
          <w:spacing w:val="21"/>
          <w:w w:val="110"/>
          <w:sz w:val="20"/>
        </w:rPr>
        <w:t> </w:t>
      </w:r>
      <w:r>
        <w:rPr>
          <w:w w:val="110"/>
          <w:sz w:val="20"/>
        </w:rPr>
        <w:t>lei.</w:t>
      </w:r>
    </w:p>
    <w:p>
      <w:pPr>
        <w:pStyle w:val="ListParagraph"/>
        <w:numPr>
          <w:ilvl w:val="0"/>
          <w:numId w:val="32"/>
        </w:numPr>
        <w:tabs>
          <w:tab w:pos="441" w:val="left" w:leader="none"/>
        </w:tabs>
        <w:spacing w:line="240" w:lineRule="auto" w:before="139" w:after="0"/>
        <w:ind w:left="440" w:right="0" w:hanging="332"/>
        <w:jc w:val="left"/>
        <w:rPr>
          <w:sz w:val="20"/>
        </w:rPr>
      </w:pPr>
      <w:r>
        <w:rPr>
          <w:w w:val="115"/>
          <w:sz w:val="20"/>
        </w:rPr>
        <w:t>Taxă pentru folosirea buldoexcavatorului – 137</w:t>
      </w:r>
      <w:r>
        <w:rPr>
          <w:spacing w:val="-10"/>
          <w:w w:val="115"/>
          <w:sz w:val="20"/>
        </w:rPr>
        <w:t> </w:t>
      </w:r>
      <w:r>
        <w:rPr>
          <w:w w:val="115"/>
          <w:sz w:val="20"/>
        </w:rPr>
        <w:t>lei/oră</w:t>
      </w:r>
    </w:p>
    <w:p>
      <w:pPr>
        <w:pStyle w:val="ListParagraph"/>
        <w:numPr>
          <w:ilvl w:val="0"/>
          <w:numId w:val="32"/>
        </w:numPr>
        <w:tabs>
          <w:tab w:pos="441" w:val="left" w:leader="none"/>
        </w:tabs>
        <w:spacing w:line="240" w:lineRule="auto" w:before="140" w:after="0"/>
        <w:ind w:left="440" w:right="0" w:hanging="332"/>
        <w:jc w:val="left"/>
        <w:rPr>
          <w:sz w:val="20"/>
        </w:rPr>
      </w:pPr>
      <w:r>
        <w:rPr>
          <w:w w:val="115"/>
          <w:sz w:val="20"/>
        </w:rPr>
        <w:t>Taxă pentru folosirea tractorului cu remorcă – 105</w:t>
      </w:r>
      <w:r>
        <w:rPr>
          <w:spacing w:val="-14"/>
          <w:w w:val="115"/>
          <w:sz w:val="20"/>
        </w:rPr>
        <w:t> </w:t>
      </w:r>
      <w:r>
        <w:rPr>
          <w:w w:val="115"/>
          <w:sz w:val="20"/>
        </w:rPr>
        <w:t>lei/oră</w:t>
      </w:r>
    </w:p>
    <w:p>
      <w:pPr>
        <w:pStyle w:val="BodyText"/>
        <w:spacing w:line="271" w:lineRule="auto" w:before="140"/>
        <w:ind w:left="107"/>
        <w:jc w:val="left"/>
      </w:pPr>
      <w:r>
        <w:rPr>
          <w:w w:val="115"/>
        </w:rPr>
        <w:t>Taxele prevăzute la punctele 43 și 44 vor fi achitate la casieria unității , după efectuarea lucrării, pe baza foii de parcurs completată de către conducătorul utilajului .</w:t>
      </w:r>
    </w:p>
    <w:p>
      <w:pPr>
        <w:pStyle w:val="Heading2"/>
        <w:spacing w:before="111"/>
        <w:ind w:left="154"/>
      </w:pPr>
      <w:r>
        <w:rPr/>
        <w:t>Art. 5. Cuantumul chiriilor, al concesiunilor și al superficiilor se indexează cu 5,1%.</w:t>
      </w:r>
    </w:p>
    <w:p>
      <w:pPr>
        <w:pStyle w:val="BodyText"/>
        <w:spacing w:line="271" w:lineRule="auto" w:before="151"/>
        <w:ind w:left="107"/>
        <w:jc w:val="left"/>
      </w:pPr>
      <w:r>
        <w:rPr>
          <w:rFonts w:ascii="Arial" w:hAnsi="Arial"/>
          <w:b/>
          <w:w w:val="115"/>
        </w:rPr>
        <w:t>Art. 6 </w:t>
      </w:r>
      <w:r>
        <w:rPr>
          <w:w w:val="115"/>
        </w:rPr>
        <w:t>1) Pentru neachitarea la termenul de scadenţă de către debitor a obligaţiilor fiscale principale, se datorează după acest termen dobânzi şi penalităţi de întârziere;</w:t>
      </w:r>
    </w:p>
    <w:p>
      <w:pPr>
        <w:pStyle w:val="ListParagraph"/>
        <w:numPr>
          <w:ilvl w:val="0"/>
          <w:numId w:val="33"/>
        </w:numPr>
        <w:tabs>
          <w:tab w:pos="838" w:val="left" w:leader="none"/>
        </w:tabs>
        <w:spacing w:line="271" w:lineRule="auto" w:before="109" w:after="0"/>
        <w:ind w:left="108" w:right="118" w:firstLine="500"/>
        <w:jc w:val="both"/>
        <w:rPr>
          <w:sz w:val="20"/>
        </w:rPr>
      </w:pPr>
      <w:r>
        <w:rPr>
          <w:w w:val="115"/>
          <w:sz w:val="20"/>
        </w:rPr>
        <w:t>Nivelul</w:t>
      </w:r>
      <w:r>
        <w:rPr>
          <w:spacing w:val="-4"/>
          <w:w w:val="115"/>
          <w:sz w:val="20"/>
        </w:rPr>
        <w:t> </w:t>
      </w:r>
      <w:r>
        <w:rPr>
          <w:w w:val="115"/>
          <w:sz w:val="20"/>
        </w:rPr>
        <w:t>dobânzii</w:t>
      </w:r>
      <w:r>
        <w:rPr>
          <w:spacing w:val="-3"/>
          <w:w w:val="115"/>
          <w:sz w:val="20"/>
        </w:rPr>
        <w:t> </w:t>
      </w:r>
      <w:r>
        <w:rPr>
          <w:w w:val="115"/>
          <w:sz w:val="20"/>
        </w:rPr>
        <w:t>este</w:t>
      </w:r>
      <w:r>
        <w:rPr>
          <w:spacing w:val="-4"/>
          <w:w w:val="115"/>
          <w:sz w:val="20"/>
        </w:rPr>
        <w:t> </w:t>
      </w:r>
      <w:r>
        <w:rPr>
          <w:w w:val="115"/>
          <w:sz w:val="20"/>
        </w:rPr>
        <w:t>de</w:t>
      </w:r>
      <w:r>
        <w:rPr>
          <w:spacing w:val="-3"/>
          <w:w w:val="115"/>
          <w:sz w:val="20"/>
        </w:rPr>
        <w:t> </w:t>
      </w:r>
      <w:r>
        <w:rPr>
          <w:w w:val="115"/>
          <w:sz w:val="20"/>
        </w:rPr>
        <w:t>0,02%</w:t>
      </w:r>
      <w:r>
        <w:rPr>
          <w:spacing w:val="-4"/>
          <w:w w:val="115"/>
          <w:sz w:val="20"/>
        </w:rPr>
        <w:t> </w:t>
      </w:r>
      <w:r>
        <w:rPr>
          <w:w w:val="115"/>
          <w:sz w:val="20"/>
        </w:rPr>
        <w:t>pentru</w:t>
      </w:r>
      <w:r>
        <w:rPr>
          <w:spacing w:val="-3"/>
          <w:w w:val="115"/>
          <w:sz w:val="20"/>
        </w:rPr>
        <w:t> </w:t>
      </w:r>
      <w:r>
        <w:rPr>
          <w:w w:val="115"/>
          <w:sz w:val="20"/>
        </w:rPr>
        <w:t>fiecare</w:t>
      </w:r>
      <w:r>
        <w:rPr>
          <w:spacing w:val="-4"/>
          <w:w w:val="115"/>
          <w:sz w:val="20"/>
        </w:rPr>
        <w:t> </w:t>
      </w:r>
      <w:r>
        <w:rPr>
          <w:w w:val="115"/>
          <w:sz w:val="20"/>
        </w:rPr>
        <w:t>zi</w:t>
      </w:r>
      <w:r>
        <w:rPr>
          <w:spacing w:val="-3"/>
          <w:w w:val="115"/>
          <w:sz w:val="20"/>
        </w:rPr>
        <w:t> </w:t>
      </w:r>
      <w:r>
        <w:rPr>
          <w:w w:val="115"/>
          <w:sz w:val="20"/>
        </w:rPr>
        <w:t>de</w:t>
      </w:r>
      <w:r>
        <w:rPr>
          <w:spacing w:val="-4"/>
          <w:w w:val="115"/>
          <w:sz w:val="20"/>
        </w:rPr>
        <w:t> </w:t>
      </w:r>
      <w:r>
        <w:rPr>
          <w:w w:val="115"/>
          <w:sz w:val="20"/>
        </w:rPr>
        <w:t>întârziere</w:t>
      </w:r>
      <w:r>
        <w:rPr>
          <w:spacing w:val="-3"/>
          <w:w w:val="115"/>
          <w:sz w:val="20"/>
        </w:rPr>
        <w:t> </w:t>
      </w:r>
      <w:r>
        <w:rPr>
          <w:w w:val="115"/>
          <w:sz w:val="20"/>
        </w:rPr>
        <w:t>începând</w:t>
      </w:r>
      <w:r>
        <w:rPr>
          <w:spacing w:val="-4"/>
          <w:w w:val="115"/>
          <w:sz w:val="20"/>
        </w:rPr>
        <w:t> </w:t>
      </w:r>
      <w:r>
        <w:rPr>
          <w:w w:val="115"/>
          <w:sz w:val="20"/>
        </w:rPr>
        <w:t>cu</w:t>
      </w:r>
      <w:r>
        <w:rPr>
          <w:spacing w:val="-3"/>
          <w:w w:val="115"/>
          <w:sz w:val="20"/>
        </w:rPr>
        <w:t> </w:t>
      </w:r>
      <w:r>
        <w:rPr>
          <w:w w:val="115"/>
          <w:sz w:val="20"/>
        </w:rPr>
        <w:t>ziua</w:t>
      </w:r>
      <w:r>
        <w:rPr>
          <w:spacing w:val="-4"/>
          <w:w w:val="115"/>
          <w:sz w:val="20"/>
        </w:rPr>
        <w:t> </w:t>
      </w:r>
      <w:r>
        <w:rPr>
          <w:w w:val="115"/>
          <w:sz w:val="20"/>
        </w:rPr>
        <w:t>imediat</w:t>
      </w:r>
      <w:r>
        <w:rPr>
          <w:spacing w:val="-3"/>
          <w:w w:val="115"/>
          <w:sz w:val="20"/>
        </w:rPr>
        <w:t> </w:t>
      </w:r>
      <w:r>
        <w:rPr>
          <w:w w:val="115"/>
          <w:sz w:val="20"/>
        </w:rPr>
        <w:t>următoare termenului de scadenţă şi până la data stingerii sumei datorate,</w:t>
      </w:r>
      <w:r>
        <w:rPr>
          <w:spacing w:val="-20"/>
          <w:w w:val="115"/>
          <w:sz w:val="20"/>
        </w:rPr>
        <w:t> </w:t>
      </w:r>
      <w:r>
        <w:rPr>
          <w:w w:val="115"/>
          <w:sz w:val="20"/>
        </w:rPr>
        <w:t>inclusive;</w:t>
      </w:r>
    </w:p>
    <w:p>
      <w:pPr>
        <w:pStyle w:val="ListParagraph"/>
        <w:numPr>
          <w:ilvl w:val="0"/>
          <w:numId w:val="33"/>
        </w:numPr>
        <w:tabs>
          <w:tab w:pos="769" w:val="left" w:leader="none"/>
        </w:tabs>
        <w:spacing w:line="271" w:lineRule="auto" w:before="108" w:after="0"/>
        <w:ind w:left="108" w:right="112" w:firstLine="433"/>
        <w:jc w:val="both"/>
        <w:rPr>
          <w:sz w:val="20"/>
        </w:rPr>
      </w:pPr>
      <w:r>
        <w:rPr>
          <w:w w:val="115"/>
          <w:sz w:val="20"/>
        </w:rPr>
        <w:t>Nivelul</w:t>
      </w:r>
      <w:r>
        <w:rPr>
          <w:spacing w:val="-6"/>
          <w:w w:val="115"/>
          <w:sz w:val="20"/>
        </w:rPr>
        <w:t> </w:t>
      </w:r>
      <w:r>
        <w:rPr>
          <w:w w:val="115"/>
          <w:sz w:val="20"/>
        </w:rPr>
        <w:t>penalităţii</w:t>
      </w:r>
      <w:r>
        <w:rPr>
          <w:spacing w:val="-5"/>
          <w:w w:val="115"/>
          <w:sz w:val="20"/>
        </w:rPr>
        <w:t> </w:t>
      </w:r>
      <w:r>
        <w:rPr>
          <w:w w:val="115"/>
          <w:sz w:val="20"/>
        </w:rPr>
        <w:t>de</w:t>
      </w:r>
      <w:r>
        <w:rPr>
          <w:spacing w:val="-6"/>
          <w:w w:val="115"/>
          <w:sz w:val="20"/>
        </w:rPr>
        <w:t> </w:t>
      </w:r>
      <w:r>
        <w:rPr>
          <w:w w:val="115"/>
          <w:sz w:val="20"/>
        </w:rPr>
        <w:t>întârziere</w:t>
      </w:r>
      <w:r>
        <w:rPr>
          <w:spacing w:val="-5"/>
          <w:w w:val="115"/>
          <w:sz w:val="20"/>
        </w:rPr>
        <w:t> </w:t>
      </w:r>
      <w:r>
        <w:rPr>
          <w:w w:val="115"/>
          <w:sz w:val="20"/>
        </w:rPr>
        <w:t>este</w:t>
      </w:r>
      <w:r>
        <w:rPr>
          <w:spacing w:val="-6"/>
          <w:w w:val="115"/>
          <w:sz w:val="20"/>
        </w:rPr>
        <w:t> </w:t>
      </w:r>
      <w:r>
        <w:rPr>
          <w:w w:val="115"/>
          <w:sz w:val="20"/>
        </w:rPr>
        <w:t>de</w:t>
      </w:r>
      <w:r>
        <w:rPr>
          <w:spacing w:val="-5"/>
          <w:w w:val="115"/>
          <w:sz w:val="20"/>
        </w:rPr>
        <w:t> </w:t>
      </w:r>
      <w:r>
        <w:rPr>
          <w:w w:val="115"/>
          <w:sz w:val="20"/>
        </w:rPr>
        <w:t>0,01%</w:t>
      </w:r>
      <w:r>
        <w:rPr>
          <w:spacing w:val="-6"/>
          <w:w w:val="115"/>
          <w:sz w:val="20"/>
        </w:rPr>
        <w:t> </w:t>
      </w:r>
      <w:r>
        <w:rPr>
          <w:w w:val="115"/>
          <w:sz w:val="20"/>
        </w:rPr>
        <w:t>pentru</w:t>
      </w:r>
      <w:r>
        <w:rPr>
          <w:spacing w:val="-5"/>
          <w:w w:val="115"/>
          <w:sz w:val="20"/>
        </w:rPr>
        <w:t> </w:t>
      </w:r>
      <w:r>
        <w:rPr>
          <w:w w:val="115"/>
          <w:sz w:val="20"/>
        </w:rPr>
        <w:t>fiecare</w:t>
      </w:r>
      <w:r>
        <w:rPr>
          <w:spacing w:val="-6"/>
          <w:w w:val="115"/>
          <w:sz w:val="20"/>
        </w:rPr>
        <w:t> </w:t>
      </w:r>
      <w:r>
        <w:rPr>
          <w:w w:val="115"/>
          <w:sz w:val="20"/>
        </w:rPr>
        <w:t>zi</w:t>
      </w:r>
      <w:r>
        <w:rPr>
          <w:spacing w:val="-5"/>
          <w:w w:val="115"/>
          <w:sz w:val="20"/>
        </w:rPr>
        <w:t> </w:t>
      </w:r>
      <w:r>
        <w:rPr>
          <w:w w:val="115"/>
          <w:sz w:val="20"/>
        </w:rPr>
        <w:t>de</w:t>
      </w:r>
      <w:r>
        <w:rPr>
          <w:spacing w:val="-6"/>
          <w:w w:val="115"/>
          <w:sz w:val="20"/>
        </w:rPr>
        <w:t> </w:t>
      </w:r>
      <w:r>
        <w:rPr>
          <w:w w:val="115"/>
          <w:sz w:val="20"/>
        </w:rPr>
        <w:t>întârziere</w:t>
      </w:r>
      <w:r>
        <w:rPr>
          <w:spacing w:val="-5"/>
          <w:w w:val="115"/>
          <w:sz w:val="20"/>
        </w:rPr>
        <w:t> </w:t>
      </w:r>
      <w:r>
        <w:rPr>
          <w:w w:val="115"/>
          <w:sz w:val="20"/>
        </w:rPr>
        <w:t>şi</w:t>
      </w:r>
      <w:r>
        <w:rPr>
          <w:spacing w:val="-6"/>
          <w:w w:val="115"/>
          <w:sz w:val="20"/>
        </w:rPr>
        <w:t> </w:t>
      </w:r>
      <w:r>
        <w:rPr>
          <w:w w:val="115"/>
          <w:sz w:val="20"/>
        </w:rPr>
        <w:t>se</w:t>
      </w:r>
      <w:r>
        <w:rPr>
          <w:spacing w:val="-5"/>
          <w:w w:val="115"/>
          <w:sz w:val="20"/>
        </w:rPr>
        <w:t> </w:t>
      </w:r>
      <w:r>
        <w:rPr>
          <w:w w:val="115"/>
          <w:sz w:val="20"/>
        </w:rPr>
        <w:t>calculează</w:t>
      </w:r>
      <w:r>
        <w:rPr>
          <w:spacing w:val="-6"/>
          <w:w w:val="115"/>
          <w:sz w:val="20"/>
        </w:rPr>
        <w:t> </w:t>
      </w:r>
      <w:r>
        <w:rPr>
          <w:w w:val="115"/>
          <w:sz w:val="20"/>
        </w:rPr>
        <w:t>pentru fiecare zi de întârziere, începând cu ziua imediat următoare termenului de scadenţă şi până la data stingerii sumei datorate,</w:t>
      </w:r>
      <w:r>
        <w:rPr>
          <w:spacing w:val="-4"/>
          <w:w w:val="115"/>
          <w:sz w:val="20"/>
        </w:rPr>
        <w:t> </w:t>
      </w:r>
      <w:r>
        <w:rPr>
          <w:w w:val="115"/>
          <w:sz w:val="20"/>
        </w:rPr>
        <w:t>inclusiv.</w:t>
      </w:r>
    </w:p>
    <w:p>
      <w:pPr>
        <w:pStyle w:val="ListParagraph"/>
        <w:numPr>
          <w:ilvl w:val="0"/>
          <w:numId w:val="33"/>
        </w:numPr>
        <w:tabs>
          <w:tab w:pos="955" w:val="left" w:leader="none"/>
        </w:tabs>
        <w:spacing w:line="271" w:lineRule="auto" w:before="109" w:after="0"/>
        <w:ind w:left="108" w:right="108" w:firstLine="577"/>
        <w:jc w:val="left"/>
        <w:rPr>
          <w:sz w:val="20"/>
        </w:rPr>
      </w:pPr>
      <w:r>
        <w:rPr>
          <w:w w:val="115"/>
          <w:sz w:val="20"/>
        </w:rPr>
        <w:t>Pentru neachitarea la termenul de scadenţă de către debitor a obligaţiilor fiscale principale datorate bugetelor locale, se datorează după acest termen majorări de</w:t>
      </w:r>
      <w:r>
        <w:rPr>
          <w:spacing w:val="-26"/>
          <w:w w:val="115"/>
          <w:sz w:val="20"/>
        </w:rPr>
        <w:t> </w:t>
      </w:r>
      <w:r>
        <w:rPr>
          <w:w w:val="115"/>
          <w:sz w:val="20"/>
        </w:rPr>
        <w:t>întârziere.</w:t>
      </w:r>
    </w:p>
    <w:p>
      <w:pPr>
        <w:pStyle w:val="ListParagraph"/>
        <w:numPr>
          <w:ilvl w:val="0"/>
          <w:numId w:val="33"/>
        </w:numPr>
        <w:tabs>
          <w:tab w:pos="660" w:val="left" w:leader="none"/>
        </w:tabs>
        <w:spacing w:line="271" w:lineRule="auto" w:before="109" w:after="0"/>
        <w:ind w:left="108" w:right="106" w:firstLine="315"/>
        <w:jc w:val="both"/>
        <w:rPr>
          <w:sz w:val="20"/>
        </w:rPr>
      </w:pPr>
      <w:r>
        <w:rPr>
          <w:w w:val="115"/>
          <w:sz w:val="20"/>
        </w:rPr>
        <w:t>Nivelul majorării de întârziere este de 1% din cuantumul obligaţiilor fiscale principale neachitate în termen, calculată pentru fiecare lună sau fracţiune de lună, începând cu ziua imediat următoare termenului de scadenţă şi până la data stingerii sumei datorate,</w:t>
      </w:r>
      <w:r>
        <w:rPr>
          <w:spacing w:val="-19"/>
          <w:w w:val="115"/>
          <w:sz w:val="20"/>
        </w:rPr>
        <w:t> </w:t>
      </w:r>
      <w:r>
        <w:rPr>
          <w:w w:val="115"/>
          <w:sz w:val="20"/>
        </w:rPr>
        <w:t>inclusiv.</w:t>
      </w:r>
    </w:p>
    <w:p>
      <w:pPr>
        <w:pStyle w:val="BodyText"/>
        <w:ind w:left="660"/>
        <w:jc w:val="left"/>
      </w:pPr>
      <w:r>
        <w:rPr>
          <w:rFonts w:ascii="Arial" w:hAnsi="Arial"/>
          <w:b/>
          <w:w w:val="110"/>
        </w:rPr>
        <w:t>ART. 7 </w:t>
      </w:r>
      <w:r>
        <w:rPr>
          <w:w w:val="110"/>
        </w:rPr>
        <w:t>Prezenta hotărâre se comunică :</w:t>
      </w:r>
    </w:p>
    <w:p>
      <w:pPr>
        <w:pStyle w:val="BodyText"/>
        <w:spacing w:line="376" w:lineRule="auto" w:before="216"/>
        <w:ind w:left="691" w:right="6254"/>
        <w:jc w:val="left"/>
      </w:pPr>
      <w:r>
        <w:rPr/>
        <w:pict>
          <v:group style="position:absolute;margin-left:73.531647pt;margin-top:14.563594pt;width:4.650pt;height:4.650pt;mso-position-horizontal-relative:page;mso-position-vertical-relative:paragraph;z-index:1264" coordorigin="1471,291" coordsize="93,93">
            <v:shape style="position:absolute;left:1478;top:298;width:77;height:77" coordorigin="1478,299" coordsize="77,77" path="m1517,376l1502,373,1490,364,1481,352,1478,337,1481,322,1490,310,1502,302,1517,299,1532,302,1544,310,1552,322,1555,337,1552,352,1544,364,1532,373,1517,376xe" filled="true" fillcolor="#000000" stroked="false">
              <v:path arrowok="t"/>
              <v:fill type="solid"/>
            </v:shape>
            <v:shape style="position:absolute;left:1478;top:298;width:77;height:77" coordorigin="1478,299" coordsize="77,77" path="m1555,337l1552,352,1544,364,1532,373,1517,376,1502,373,1490,364,1481,352,1478,337,1481,322,1490,310,1502,302,1517,299,1532,302,1544,310,1552,322,1555,337xe" filled="false" stroked="true" strokeweight=".76770pt" strokecolor="#000000">
              <v:path arrowok="t"/>
              <v:stroke dashstyle="solid"/>
            </v:shape>
            <w10:wrap type="none"/>
          </v:group>
        </w:pict>
      </w:r>
      <w:r>
        <w:rPr/>
        <w:pict>
          <v:group style="position:absolute;margin-left:73.531647pt;margin-top:33.756081pt;width:4.650pt;height:4.650pt;mso-position-horizontal-relative:page;mso-position-vertical-relative:paragraph;z-index:1288" coordorigin="1471,675" coordsize="93,93">
            <v:shape style="position:absolute;left:1478;top:682;width:77;height:77" coordorigin="1478,683" coordsize="77,77" path="m1517,760l1502,757,1490,748,1481,736,1478,721,1481,706,1490,694,1502,686,1517,683,1532,686,1544,694,1552,706,1555,721,1552,736,1544,748,1532,757,1517,760xe" filled="true" fillcolor="#000000" stroked="false">
              <v:path arrowok="t"/>
              <v:fill type="solid"/>
            </v:shape>
            <v:shape style="position:absolute;left:1478;top:682;width:77;height:77" coordorigin="1478,683" coordsize="77,77" path="m1555,721l1552,736,1544,748,1532,757,1517,760,1502,757,1490,748,1481,736,1478,721,1481,706,1490,694,1502,686,1517,683,1532,686,1544,694,1552,706,1555,721xe" filled="false" stroked="true" strokeweight=".76770pt" strokecolor="#000000">
              <v:path arrowok="t"/>
              <v:stroke dashstyle="solid"/>
            </v:shape>
            <w10:wrap type="none"/>
          </v:group>
        </w:pict>
      </w:r>
      <w:r>
        <w:rPr/>
        <w:pict>
          <v:group style="position:absolute;margin-left:73.531647pt;margin-top:52.94857pt;width:4.650pt;height:4.650pt;mso-position-horizontal-relative:page;mso-position-vertical-relative:paragraph;z-index:1312" coordorigin="1471,1059" coordsize="93,93">
            <v:shape style="position:absolute;left:1478;top:1066;width:77;height:77" coordorigin="1478,1067" coordsize="77,77" path="m1517,1143l1502,1140,1490,1132,1481,1120,1478,1105,1481,1090,1490,1078,1502,1070,1517,1067,1532,1070,1544,1078,1552,1090,1555,1105,1552,1120,1544,1132,1532,1140,1517,1143xe" filled="true" fillcolor="#000000" stroked="false">
              <v:path arrowok="t"/>
              <v:fill type="solid"/>
            </v:shape>
            <v:shape style="position:absolute;left:1478;top:1066;width:77;height:77" coordorigin="1478,1067" coordsize="77,77" path="m1555,1105l1552,1120,1544,1132,1532,1140,1517,1143,1502,1140,1490,1132,1481,1120,1478,1105,1481,1090,1490,1078,1502,1070,1517,1067,1532,1070,1544,1078,1552,1090,1555,1105xe" filled="false" stroked="true" strokeweight=".76770pt" strokecolor="#000000">
              <v:path arrowok="t"/>
              <v:stroke dashstyle="solid"/>
            </v:shape>
            <w10:wrap type="none"/>
          </v:group>
        </w:pict>
      </w:r>
      <w:r>
        <w:rPr>
          <w:w w:val="115"/>
        </w:rPr>
        <w:t>Prefectului Județului Iași ; Primarului comunei Costuleni ; Se afișează pe site-ul instituției .</w:t>
      </w:r>
    </w:p>
    <w:p>
      <w:pPr>
        <w:pStyle w:val="BodyText"/>
        <w:spacing w:before="2"/>
        <w:ind w:left="0"/>
        <w:jc w:val="left"/>
        <w:rPr>
          <w:sz w:val="10"/>
        </w:rPr>
      </w:pPr>
    </w:p>
    <w:p>
      <w:pPr>
        <w:spacing w:after="0"/>
        <w:jc w:val="left"/>
        <w:rPr>
          <w:sz w:val="10"/>
        </w:rPr>
        <w:sectPr>
          <w:pgSz w:w="11900" w:h="16840"/>
          <w:pgMar w:header="0" w:footer="360" w:top="500" w:bottom="560" w:left="1140" w:right="740"/>
        </w:sectPr>
      </w:pPr>
    </w:p>
    <w:p>
      <w:pPr>
        <w:pStyle w:val="BodyText"/>
        <w:spacing w:line="271" w:lineRule="auto" w:before="123"/>
        <w:ind w:left="1029" w:right="-9" w:firstLine="606"/>
        <w:jc w:val="left"/>
      </w:pPr>
      <w:r>
        <w:rPr>
          <w:w w:val="115"/>
        </w:rPr>
        <w:t>INIȚIATOR PROIECT: PRIMARUL COMUNEI COSTULENI</w:t>
      </w:r>
    </w:p>
    <w:p>
      <w:pPr>
        <w:pStyle w:val="Heading1"/>
        <w:spacing w:before="56"/>
        <w:ind w:left="1812"/>
      </w:pPr>
      <w:r>
        <w:rPr>
          <w:w w:val="105"/>
        </w:rPr>
        <w:t>Mirică DODAN</w:t>
      </w:r>
    </w:p>
    <w:p>
      <w:pPr>
        <w:pStyle w:val="BodyText"/>
        <w:spacing w:line="271" w:lineRule="auto" w:before="123"/>
        <w:ind w:left="1029" w:firstLine="783"/>
        <w:jc w:val="left"/>
      </w:pPr>
      <w:r>
        <w:rPr/>
        <w:br w:type="column"/>
      </w:r>
      <w:r>
        <w:rPr>
          <w:w w:val="115"/>
        </w:rPr>
        <w:t>AVIZEAZĂ PENTRU LEGALITATE: SECRETARUL GENERAL AL COMUNEI COSTULENI</w:t>
      </w:r>
    </w:p>
    <w:p>
      <w:pPr>
        <w:pStyle w:val="Heading1"/>
      </w:pPr>
      <w:r>
        <w:rPr>
          <w:w w:val="105"/>
        </w:rPr>
        <w:t>Loredana-Manuela ANCHIDIM</w:t>
      </w:r>
    </w:p>
    <w:sectPr>
      <w:type w:val="continuous"/>
      <w:pgSz w:w="11900" w:h="16840"/>
      <w:pgMar w:top="600" w:bottom="540" w:left="1140" w:right="740"/>
      <w:cols w:num="2" w:equalWidth="0">
        <w:col w:w="4139" w:space="60"/>
        <w:col w:w="58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283.355011pt;margin-top:812.98114pt;width:48.65pt;height:8.75pt;mso-position-horizontal-relative:page;mso-position-vertical-relative:page;z-index:-48592" type="#_x0000_t202" filled="false" stroked="false">
          <v:textbox inset="0,0,0,0">
            <w:txbxContent>
              <w:p>
                <w:pPr>
                  <w:spacing w:line="146" w:lineRule="exact" w:before="0"/>
                  <w:ind w:left="20" w:right="0" w:firstLine="0"/>
                  <w:jc w:val="left"/>
                  <w:rPr>
                    <w:rFonts w:ascii="Arial"/>
                    <w:sz w:val="13"/>
                  </w:rPr>
                </w:pPr>
                <w:r>
                  <w:rPr>
                    <w:rFonts w:ascii="Arial"/>
                    <w:w w:val="105"/>
                    <w:sz w:val="13"/>
                  </w:rPr>
                  <w:t>Pagina </w:t>
                </w:r>
                <w:r>
                  <w:rPr/>
                  <w:fldChar w:fldCharType="begin"/>
                </w:r>
                <w:r>
                  <w:rPr>
                    <w:rFonts w:ascii="Arial"/>
                    <w:w w:val="105"/>
                    <w:sz w:val="13"/>
                  </w:rPr>
                  <w:instrText> PAGE </w:instrText>
                </w:r>
                <w:r>
                  <w:rPr/>
                  <w:fldChar w:fldCharType="separate"/>
                </w:r>
                <w:r>
                  <w:rPr/>
                  <w:t>1</w:t>
                </w:r>
                <w:r>
                  <w:rPr/>
                  <w:fldChar w:fldCharType="end"/>
                </w:r>
                <w:r>
                  <w:rPr>
                    <w:rFonts w:ascii="Arial"/>
                    <w:w w:val="105"/>
                    <w:sz w:val="13"/>
                  </w:rPr>
                  <w:t> din 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12"/>
      </w:rPr>
    </w:pPr>
    <w:r>
      <w:rPr/>
      <w:pict>
        <v:shape style="position:absolute;margin-left:281.494995pt;margin-top:812.98114pt;width:52.4pt;height:8.75pt;mso-position-horizontal-relative:page;mso-position-vertical-relative:page;z-index:-48568" type="#_x0000_t202" filled="false" stroked="false">
          <v:textbox inset="0,0,0,0">
            <w:txbxContent>
              <w:p>
                <w:pPr>
                  <w:spacing w:line="146" w:lineRule="exact" w:before="0"/>
                  <w:ind w:left="20" w:right="0" w:firstLine="0"/>
                  <w:jc w:val="left"/>
                  <w:rPr>
                    <w:rFonts w:ascii="Arial"/>
                    <w:sz w:val="13"/>
                  </w:rPr>
                </w:pPr>
                <w:r>
                  <w:rPr>
                    <w:rFonts w:ascii="Arial"/>
                    <w:w w:val="105"/>
                    <w:sz w:val="13"/>
                  </w:rPr>
                  <w:t>Pagina </w:t>
                </w:r>
                <w:r>
                  <w:rPr/>
                  <w:fldChar w:fldCharType="begin"/>
                </w:r>
                <w:r>
                  <w:rPr>
                    <w:rFonts w:ascii="Arial"/>
                    <w:w w:val="105"/>
                    <w:sz w:val="13"/>
                  </w:rPr>
                  <w:instrText> PAGE </w:instrText>
                </w:r>
                <w:r>
                  <w:rPr/>
                  <w:fldChar w:fldCharType="separate"/>
                </w:r>
                <w:r>
                  <w:rPr/>
                  <w:t>14</w:t>
                </w:r>
                <w:r>
                  <w:rPr/>
                  <w:fldChar w:fldCharType="end"/>
                </w:r>
                <w:r>
                  <w:rPr>
                    <w:rFonts w:ascii="Arial"/>
                    <w:w w:val="105"/>
                    <w:sz w:val="13"/>
                  </w:rPr>
                  <w:t> din 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 style="position:absolute;margin-left:281.494995pt;margin-top:812.98114pt;width:52.4pt;height:8.75pt;mso-position-horizontal-relative:page;mso-position-vertical-relative:page;z-index:-48544" type="#_x0000_t202" filled="false" stroked="false">
          <v:textbox inset="0,0,0,0">
            <w:txbxContent>
              <w:p>
                <w:pPr>
                  <w:spacing w:line="146" w:lineRule="exact" w:before="0"/>
                  <w:ind w:left="20" w:right="0" w:firstLine="0"/>
                  <w:jc w:val="left"/>
                  <w:rPr>
                    <w:rFonts w:ascii="Arial"/>
                    <w:sz w:val="13"/>
                  </w:rPr>
                </w:pPr>
                <w:r>
                  <w:rPr>
                    <w:rFonts w:ascii="Arial"/>
                    <w:w w:val="105"/>
                    <w:sz w:val="13"/>
                  </w:rPr>
                  <w:t>Pagina </w:t>
                </w:r>
                <w:r>
                  <w:rPr/>
                  <w:fldChar w:fldCharType="begin"/>
                </w:r>
                <w:r>
                  <w:rPr>
                    <w:rFonts w:ascii="Arial"/>
                    <w:w w:val="105"/>
                    <w:sz w:val="13"/>
                  </w:rPr>
                  <w:instrText> PAGE </w:instrText>
                </w:r>
                <w:r>
                  <w:rPr/>
                  <w:fldChar w:fldCharType="separate"/>
                </w:r>
                <w:r>
                  <w:rPr/>
                  <w:t>20</w:t>
                </w:r>
                <w:r>
                  <w:rPr/>
                  <w:fldChar w:fldCharType="end"/>
                </w:r>
                <w:r>
                  <w:rPr>
                    <w:rFonts w:ascii="Arial"/>
                    <w:w w:val="105"/>
                    <w:sz w:val="13"/>
                  </w:rPr>
                  <w:t> din 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2"/>
      <w:numFmt w:val="decimal"/>
      <w:lvlText w:val="%1)"/>
      <w:lvlJc w:val="left"/>
      <w:pPr>
        <w:ind w:left="108" w:hanging="229"/>
        <w:jc w:val="right"/>
      </w:pPr>
      <w:rPr>
        <w:rFonts w:hint="default" w:ascii="Calibri" w:hAnsi="Calibri" w:eastAsia="Calibri" w:cs="Calibri"/>
        <w:spacing w:val="-1"/>
        <w:w w:val="97"/>
        <w:sz w:val="20"/>
        <w:szCs w:val="20"/>
      </w:rPr>
    </w:lvl>
    <w:lvl w:ilvl="1">
      <w:start w:val="0"/>
      <w:numFmt w:val="bullet"/>
      <w:lvlText w:val="•"/>
      <w:lvlJc w:val="left"/>
      <w:pPr>
        <w:ind w:left="1092" w:hanging="229"/>
      </w:pPr>
      <w:rPr>
        <w:rFonts w:hint="default"/>
      </w:rPr>
    </w:lvl>
    <w:lvl w:ilvl="2">
      <w:start w:val="0"/>
      <w:numFmt w:val="bullet"/>
      <w:lvlText w:val="•"/>
      <w:lvlJc w:val="left"/>
      <w:pPr>
        <w:ind w:left="2084" w:hanging="229"/>
      </w:pPr>
      <w:rPr>
        <w:rFonts w:hint="default"/>
      </w:rPr>
    </w:lvl>
    <w:lvl w:ilvl="3">
      <w:start w:val="0"/>
      <w:numFmt w:val="bullet"/>
      <w:lvlText w:val="•"/>
      <w:lvlJc w:val="left"/>
      <w:pPr>
        <w:ind w:left="3076" w:hanging="229"/>
      </w:pPr>
      <w:rPr>
        <w:rFonts w:hint="default"/>
      </w:rPr>
    </w:lvl>
    <w:lvl w:ilvl="4">
      <w:start w:val="0"/>
      <w:numFmt w:val="bullet"/>
      <w:lvlText w:val="•"/>
      <w:lvlJc w:val="left"/>
      <w:pPr>
        <w:ind w:left="4068" w:hanging="229"/>
      </w:pPr>
      <w:rPr>
        <w:rFonts w:hint="default"/>
      </w:rPr>
    </w:lvl>
    <w:lvl w:ilvl="5">
      <w:start w:val="0"/>
      <w:numFmt w:val="bullet"/>
      <w:lvlText w:val="•"/>
      <w:lvlJc w:val="left"/>
      <w:pPr>
        <w:ind w:left="5060" w:hanging="229"/>
      </w:pPr>
      <w:rPr>
        <w:rFonts w:hint="default"/>
      </w:rPr>
    </w:lvl>
    <w:lvl w:ilvl="6">
      <w:start w:val="0"/>
      <w:numFmt w:val="bullet"/>
      <w:lvlText w:val="•"/>
      <w:lvlJc w:val="left"/>
      <w:pPr>
        <w:ind w:left="6052" w:hanging="229"/>
      </w:pPr>
      <w:rPr>
        <w:rFonts w:hint="default"/>
      </w:rPr>
    </w:lvl>
    <w:lvl w:ilvl="7">
      <w:start w:val="0"/>
      <w:numFmt w:val="bullet"/>
      <w:lvlText w:val="•"/>
      <w:lvlJc w:val="left"/>
      <w:pPr>
        <w:ind w:left="7044" w:hanging="229"/>
      </w:pPr>
      <w:rPr>
        <w:rFonts w:hint="default"/>
      </w:rPr>
    </w:lvl>
    <w:lvl w:ilvl="8">
      <w:start w:val="0"/>
      <w:numFmt w:val="bullet"/>
      <w:lvlText w:val="•"/>
      <w:lvlJc w:val="left"/>
      <w:pPr>
        <w:ind w:left="8036" w:hanging="229"/>
      </w:pPr>
      <w:rPr>
        <w:rFonts w:hint="default"/>
      </w:rPr>
    </w:lvl>
  </w:abstractNum>
  <w:abstractNum w:abstractNumId="31">
    <w:multiLevelType w:val="hybridMultilevel"/>
    <w:lvl w:ilvl="0">
      <w:start w:val="42"/>
      <w:numFmt w:val="decimal"/>
      <w:lvlText w:val="%1."/>
      <w:lvlJc w:val="left"/>
      <w:pPr>
        <w:ind w:left="440" w:hanging="333"/>
        <w:jc w:val="left"/>
      </w:pPr>
      <w:rPr>
        <w:rFonts w:hint="default" w:ascii="Calibri" w:hAnsi="Calibri" w:eastAsia="Calibri" w:cs="Calibri"/>
        <w:spacing w:val="-1"/>
        <w:w w:val="103"/>
        <w:sz w:val="20"/>
        <w:szCs w:val="20"/>
      </w:rPr>
    </w:lvl>
    <w:lvl w:ilvl="1">
      <w:start w:val="0"/>
      <w:numFmt w:val="bullet"/>
      <w:lvlText w:val="•"/>
      <w:lvlJc w:val="left"/>
      <w:pPr>
        <w:ind w:left="1398" w:hanging="333"/>
      </w:pPr>
      <w:rPr>
        <w:rFonts w:hint="default"/>
      </w:rPr>
    </w:lvl>
    <w:lvl w:ilvl="2">
      <w:start w:val="0"/>
      <w:numFmt w:val="bullet"/>
      <w:lvlText w:val="•"/>
      <w:lvlJc w:val="left"/>
      <w:pPr>
        <w:ind w:left="2356" w:hanging="333"/>
      </w:pPr>
      <w:rPr>
        <w:rFonts w:hint="default"/>
      </w:rPr>
    </w:lvl>
    <w:lvl w:ilvl="3">
      <w:start w:val="0"/>
      <w:numFmt w:val="bullet"/>
      <w:lvlText w:val="•"/>
      <w:lvlJc w:val="left"/>
      <w:pPr>
        <w:ind w:left="3314" w:hanging="333"/>
      </w:pPr>
      <w:rPr>
        <w:rFonts w:hint="default"/>
      </w:rPr>
    </w:lvl>
    <w:lvl w:ilvl="4">
      <w:start w:val="0"/>
      <w:numFmt w:val="bullet"/>
      <w:lvlText w:val="•"/>
      <w:lvlJc w:val="left"/>
      <w:pPr>
        <w:ind w:left="4272" w:hanging="333"/>
      </w:pPr>
      <w:rPr>
        <w:rFonts w:hint="default"/>
      </w:rPr>
    </w:lvl>
    <w:lvl w:ilvl="5">
      <w:start w:val="0"/>
      <w:numFmt w:val="bullet"/>
      <w:lvlText w:val="•"/>
      <w:lvlJc w:val="left"/>
      <w:pPr>
        <w:ind w:left="5230" w:hanging="333"/>
      </w:pPr>
      <w:rPr>
        <w:rFonts w:hint="default"/>
      </w:rPr>
    </w:lvl>
    <w:lvl w:ilvl="6">
      <w:start w:val="0"/>
      <w:numFmt w:val="bullet"/>
      <w:lvlText w:val="•"/>
      <w:lvlJc w:val="left"/>
      <w:pPr>
        <w:ind w:left="6188" w:hanging="333"/>
      </w:pPr>
      <w:rPr>
        <w:rFonts w:hint="default"/>
      </w:rPr>
    </w:lvl>
    <w:lvl w:ilvl="7">
      <w:start w:val="0"/>
      <w:numFmt w:val="bullet"/>
      <w:lvlText w:val="•"/>
      <w:lvlJc w:val="left"/>
      <w:pPr>
        <w:ind w:left="7146" w:hanging="333"/>
      </w:pPr>
      <w:rPr>
        <w:rFonts w:hint="default"/>
      </w:rPr>
    </w:lvl>
    <w:lvl w:ilvl="8">
      <w:start w:val="0"/>
      <w:numFmt w:val="bullet"/>
      <w:lvlText w:val="•"/>
      <w:lvlJc w:val="left"/>
      <w:pPr>
        <w:ind w:left="8104" w:hanging="333"/>
      </w:pPr>
      <w:rPr>
        <w:rFonts w:hint="default"/>
      </w:rPr>
    </w:lvl>
  </w:abstractNum>
  <w:abstractNum w:abstractNumId="30">
    <w:multiLevelType w:val="hybridMultilevel"/>
    <w:lvl w:ilvl="0">
      <w:start w:val="30"/>
      <w:numFmt w:val="decimal"/>
      <w:lvlText w:val="%1."/>
      <w:lvlJc w:val="left"/>
      <w:pPr>
        <w:ind w:left="491" w:hanging="384"/>
        <w:jc w:val="left"/>
      </w:pPr>
      <w:rPr>
        <w:rFonts w:hint="default" w:ascii="Calibri" w:hAnsi="Calibri" w:eastAsia="Calibri" w:cs="Calibri"/>
        <w:spacing w:val="-1"/>
        <w:w w:val="103"/>
        <w:sz w:val="20"/>
        <w:szCs w:val="20"/>
      </w:rPr>
    </w:lvl>
    <w:lvl w:ilvl="1">
      <w:start w:val="0"/>
      <w:numFmt w:val="bullet"/>
      <w:lvlText w:val="•"/>
      <w:lvlJc w:val="left"/>
      <w:pPr>
        <w:ind w:left="1452" w:hanging="384"/>
      </w:pPr>
      <w:rPr>
        <w:rFonts w:hint="default"/>
      </w:rPr>
    </w:lvl>
    <w:lvl w:ilvl="2">
      <w:start w:val="0"/>
      <w:numFmt w:val="bullet"/>
      <w:lvlText w:val="•"/>
      <w:lvlJc w:val="left"/>
      <w:pPr>
        <w:ind w:left="2404" w:hanging="384"/>
      </w:pPr>
      <w:rPr>
        <w:rFonts w:hint="default"/>
      </w:rPr>
    </w:lvl>
    <w:lvl w:ilvl="3">
      <w:start w:val="0"/>
      <w:numFmt w:val="bullet"/>
      <w:lvlText w:val="•"/>
      <w:lvlJc w:val="left"/>
      <w:pPr>
        <w:ind w:left="3356" w:hanging="384"/>
      </w:pPr>
      <w:rPr>
        <w:rFonts w:hint="default"/>
      </w:rPr>
    </w:lvl>
    <w:lvl w:ilvl="4">
      <w:start w:val="0"/>
      <w:numFmt w:val="bullet"/>
      <w:lvlText w:val="•"/>
      <w:lvlJc w:val="left"/>
      <w:pPr>
        <w:ind w:left="4308" w:hanging="384"/>
      </w:pPr>
      <w:rPr>
        <w:rFonts w:hint="default"/>
      </w:rPr>
    </w:lvl>
    <w:lvl w:ilvl="5">
      <w:start w:val="0"/>
      <w:numFmt w:val="bullet"/>
      <w:lvlText w:val="•"/>
      <w:lvlJc w:val="left"/>
      <w:pPr>
        <w:ind w:left="5260" w:hanging="384"/>
      </w:pPr>
      <w:rPr>
        <w:rFonts w:hint="default"/>
      </w:rPr>
    </w:lvl>
    <w:lvl w:ilvl="6">
      <w:start w:val="0"/>
      <w:numFmt w:val="bullet"/>
      <w:lvlText w:val="•"/>
      <w:lvlJc w:val="left"/>
      <w:pPr>
        <w:ind w:left="6212" w:hanging="384"/>
      </w:pPr>
      <w:rPr>
        <w:rFonts w:hint="default"/>
      </w:rPr>
    </w:lvl>
    <w:lvl w:ilvl="7">
      <w:start w:val="0"/>
      <w:numFmt w:val="bullet"/>
      <w:lvlText w:val="•"/>
      <w:lvlJc w:val="left"/>
      <w:pPr>
        <w:ind w:left="7164" w:hanging="384"/>
      </w:pPr>
      <w:rPr>
        <w:rFonts w:hint="default"/>
      </w:rPr>
    </w:lvl>
    <w:lvl w:ilvl="8">
      <w:start w:val="0"/>
      <w:numFmt w:val="bullet"/>
      <w:lvlText w:val="•"/>
      <w:lvlJc w:val="left"/>
      <w:pPr>
        <w:ind w:left="8116" w:hanging="384"/>
      </w:pPr>
      <w:rPr>
        <w:rFonts w:hint="default"/>
      </w:rPr>
    </w:lvl>
  </w:abstractNum>
  <w:abstractNum w:abstractNumId="29">
    <w:multiLevelType w:val="hybridMultilevel"/>
    <w:lvl w:ilvl="0">
      <w:start w:val="1"/>
      <w:numFmt w:val="lowerLetter"/>
      <w:lvlText w:val="%1)"/>
      <w:lvlJc w:val="left"/>
      <w:pPr>
        <w:ind w:left="108" w:hanging="274"/>
        <w:jc w:val="right"/>
      </w:pPr>
      <w:rPr>
        <w:rFonts w:hint="default" w:ascii="Arial" w:hAnsi="Arial" w:eastAsia="Arial" w:cs="Arial"/>
        <w:b/>
        <w:bCs/>
        <w:spacing w:val="-1"/>
        <w:w w:val="94"/>
        <w:sz w:val="20"/>
        <w:szCs w:val="20"/>
      </w:rPr>
    </w:lvl>
    <w:lvl w:ilvl="1">
      <w:start w:val="0"/>
      <w:numFmt w:val="bullet"/>
      <w:lvlText w:val="•"/>
      <w:lvlJc w:val="left"/>
      <w:pPr>
        <w:ind w:left="1092" w:hanging="274"/>
      </w:pPr>
      <w:rPr>
        <w:rFonts w:hint="default"/>
      </w:rPr>
    </w:lvl>
    <w:lvl w:ilvl="2">
      <w:start w:val="0"/>
      <w:numFmt w:val="bullet"/>
      <w:lvlText w:val="•"/>
      <w:lvlJc w:val="left"/>
      <w:pPr>
        <w:ind w:left="2084" w:hanging="274"/>
      </w:pPr>
      <w:rPr>
        <w:rFonts w:hint="default"/>
      </w:rPr>
    </w:lvl>
    <w:lvl w:ilvl="3">
      <w:start w:val="0"/>
      <w:numFmt w:val="bullet"/>
      <w:lvlText w:val="•"/>
      <w:lvlJc w:val="left"/>
      <w:pPr>
        <w:ind w:left="3076" w:hanging="274"/>
      </w:pPr>
      <w:rPr>
        <w:rFonts w:hint="default"/>
      </w:rPr>
    </w:lvl>
    <w:lvl w:ilvl="4">
      <w:start w:val="0"/>
      <w:numFmt w:val="bullet"/>
      <w:lvlText w:val="•"/>
      <w:lvlJc w:val="left"/>
      <w:pPr>
        <w:ind w:left="4068" w:hanging="274"/>
      </w:pPr>
      <w:rPr>
        <w:rFonts w:hint="default"/>
      </w:rPr>
    </w:lvl>
    <w:lvl w:ilvl="5">
      <w:start w:val="0"/>
      <w:numFmt w:val="bullet"/>
      <w:lvlText w:val="•"/>
      <w:lvlJc w:val="left"/>
      <w:pPr>
        <w:ind w:left="5060" w:hanging="274"/>
      </w:pPr>
      <w:rPr>
        <w:rFonts w:hint="default"/>
      </w:rPr>
    </w:lvl>
    <w:lvl w:ilvl="6">
      <w:start w:val="0"/>
      <w:numFmt w:val="bullet"/>
      <w:lvlText w:val="•"/>
      <w:lvlJc w:val="left"/>
      <w:pPr>
        <w:ind w:left="6052" w:hanging="274"/>
      </w:pPr>
      <w:rPr>
        <w:rFonts w:hint="default"/>
      </w:rPr>
    </w:lvl>
    <w:lvl w:ilvl="7">
      <w:start w:val="0"/>
      <w:numFmt w:val="bullet"/>
      <w:lvlText w:val="•"/>
      <w:lvlJc w:val="left"/>
      <w:pPr>
        <w:ind w:left="7044" w:hanging="274"/>
      </w:pPr>
      <w:rPr>
        <w:rFonts w:hint="default"/>
      </w:rPr>
    </w:lvl>
    <w:lvl w:ilvl="8">
      <w:start w:val="0"/>
      <w:numFmt w:val="bullet"/>
      <w:lvlText w:val="•"/>
      <w:lvlJc w:val="left"/>
      <w:pPr>
        <w:ind w:left="8036" w:hanging="274"/>
      </w:pPr>
      <w:rPr>
        <w:rFonts w:hint="default"/>
      </w:rPr>
    </w:lvl>
  </w:abstractNum>
  <w:abstractNum w:abstractNumId="28">
    <w:multiLevelType w:val="hybridMultilevel"/>
    <w:lvl w:ilvl="0">
      <w:start w:val="1"/>
      <w:numFmt w:val="lowerLetter"/>
      <w:lvlText w:val="%1)"/>
      <w:lvlJc w:val="left"/>
      <w:pPr>
        <w:ind w:left="108" w:hanging="231"/>
        <w:jc w:val="left"/>
      </w:pPr>
      <w:rPr>
        <w:rFonts w:hint="default" w:ascii="Arial" w:hAnsi="Arial" w:eastAsia="Arial" w:cs="Arial"/>
        <w:b/>
        <w:bCs/>
        <w:spacing w:val="-1"/>
        <w:w w:val="94"/>
        <w:sz w:val="20"/>
        <w:szCs w:val="20"/>
      </w:rPr>
    </w:lvl>
    <w:lvl w:ilvl="1">
      <w:start w:val="0"/>
      <w:numFmt w:val="bullet"/>
      <w:lvlText w:val="•"/>
      <w:lvlJc w:val="left"/>
      <w:pPr>
        <w:ind w:left="1092" w:hanging="231"/>
      </w:pPr>
      <w:rPr>
        <w:rFonts w:hint="default"/>
      </w:rPr>
    </w:lvl>
    <w:lvl w:ilvl="2">
      <w:start w:val="0"/>
      <w:numFmt w:val="bullet"/>
      <w:lvlText w:val="•"/>
      <w:lvlJc w:val="left"/>
      <w:pPr>
        <w:ind w:left="2084" w:hanging="231"/>
      </w:pPr>
      <w:rPr>
        <w:rFonts w:hint="default"/>
      </w:rPr>
    </w:lvl>
    <w:lvl w:ilvl="3">
      <w:start w:val="0"/>
      <w:numFmt w:val="bullet"/>
      <w:lvlText w:val="•"/>
      <w:lvlJc w:val="left"/>
      <w:pPr>
        <w:ind w:left="3076" w:hanging="231"/>
      </w:pPr>
      <w:rPr>
        <w:rFonts w:hint="default"/>
      </w:rPr>
    </w:lvl>
    <w:lvl w:ilvl="4">
      <w:start w:val="0"/>
      <w:numFmt w:val="bullet"/>
      <w:lvlText w:val="•"/>
      <w:lvlJc w:val="left"/>
      <w:pPr>
        <w:ind w:left="4068" w:hanging="231"/>
      </w:pPr>
      <w:rPr>
        <w:rFonts w:hint="default"/>
      </w:rPr>
    </w:lvl>
    <w:lvl w:ilvl="5">
      <w:start w:val="0"/>
      <w:numFmt w:val="bullet"/>
      <w:lvlText w:val="•"/>
      <w:lvlJc w:val="left"/>
      <w:pPr>
        <w:ind w:left="5060" w:hanging="231"/>
      </w:pPr>
      <w:rPr>
        <w:rFonts w:hint="default"/>
      </w:rPr>
    </w:lvl>
    <w:lvl w:ilvl="6">
      <w:start w:val="0"/>
      <w:numFmt w:val="bullet"/>
      <w:lvlText w:val="•"/>
      <w:lvlJc w:val="left"/>
      <w:pPr>
        <w:ind w:left="6052" w:hanging="231"/>
      </w:pPr>
      <w:rPr>
        <w:rFonts w:hint="default"/>
      </w:rPr>
    </w:lvl>
    <w:lvl w:ilvl="7">
      <w:start w:val="0"/>
      <w:numFmt w:val="bullet"/>
      <w:lvlText w:val="•"/>
      <w:lvlJc w:val="left"/>
      <w:pPr>
        <w:ind w:left="7044" w:hanging="231"/>
      </w:pPr>
      <w:rPr>
        <w:rFonts w:hint="default"/>
      </w:rPr>
    </w:lvl>
    <w:lvl w:ilvl="8">
      <w:start w:val="0"/>
      <w:numFmt w:val="bullet"/>
      <w:lvlText w:val="•"/>
      <w:lvlJc w:val="left"/>
      <w:pPr>
        <w:ind w:left="8036" w:hanging="231"/>
      </w:pPr>
      <w:rPr>
        <w:rFonts w:hint="default"/>
      </w:rPr>
    </w:lvl>
  </w:abstractNum>
  <w:abstractNum w:abstractNumId="27">
    <w:multiLevelType w:val="hybridMultilevel"/>
    <w:lvl w:ilvl="0">
      <w:start w:val="23"/>
      <w:numFmt w:val="decimal"/>
      <w:lvlText w:val="%1."/>
      <w:lvlJc w:val="left"/>
      <w:pPr>
        <w:ind w:left="108" w:hanging="461"/>
        <w:jc w:val="left"/>
      </w:pPr>
      <w:rPr>
        <w:rFonts w:hint="default"/>
        <w:b/>
        <w:bCs/>
        <w:spacing w:val="-1"/>
        <w:w w:val="98"/>
      </w:rPr>
    </w:lvl>
    <w:lvl w:ilvl="1">
      <w:start w:val="0"/>
      <w:numFmt w:val="bullet"/>
      <w:lvlText w:val="•"/>
      <w:lvlJc w:val="left"/>
      <w:pPr>
        <w:ind w:left="1092" w:hanging="461"/>
      </w:pPr>
      <w:rPr>
        <w:rFonts w:hint="default"/>
      </w:rPr>
    </w:lvl>
    <w:lvl w:ilvl="2">
      <w:start w:val="0"/>
      <w:numFmt w:val="bullet"/>
      <w:lvlText w:val="•"/>
      <w:lvlJc w:val="left"/>
      <w:pPr>
        <w:ind w:left="2084" w:hanging="461"/>
      </w:pPr>
      <w:rPr>
        <w:rFonts w:hint="default"/>
      </w:rPr>
    </w:lvl>
    <w:lvl w:ilvl="3">
      <w:start w:val="0"/>
      <w:numFmt w:val="bullet"/>
      <w:lvlText w:val="•"/>
      <w:lvlJc w:val="left"/>
      <w:pPr>
        <w:ind w:left="3076" w:hanging="461"/>
      </w:pPr>
      <w:rPr>
        <w:rFonts w:hint="default"/>
      </w:rPr>
    </w:lvl>
    <w:lvl w:ilvl="4">
      <w:start w:val="0"/>
      <w:numFmt w:val="bullet"/>
      <w:lvlText w:val="•"/>
      <w:lvlJc w:val="left"/>
      <w:pPr>
        <w:ind w:left="4068" w:hanging="461"/>
      </w:pPr>
      <w:rPr>
        <w:rFonts w:hint="default"/>
      </w:rPr>
    </w:lvl>
    <w:lvl w:ilvl="5">
      <w:start w:val="0"/>
      <w:numFmt w:val="bullet"/>
      <w:lvlText w:val="•"/>
      <w:lvlJc w:val="left"/>
      <w:pPr>
        <w:ind w:left="5060" w:hanging="461"/>
      </w:pPr>
      <w:rPr>
        <w:rFonts w:hint="default"/>
      </w:rPr>
    </w:lvl>
    <w:lvl w:ilvl="6">
      <w:start w:val="0"/>
      <w:numFmt w:val="bullet"/>
      <w:lvlText w:val="•"/>
      <w:lvlJc w:val="left"/>
      <w:pPr>
        <w:ind w:left="6052" w:hanging="461"/>
      </w:pPr>
      <w:rPr>
        <w:rFonts w:hint="default"/>
      </w:rPr>
    </w:lvl>
    <w:lvl w:ilvl="7">
      <w:start w:val="0"/>
      <w:numFmt w:val="bullet"/>
      <w:lvlText w:val="•"/>
      <w:lvlJc w:val="left"/>
      <w:pPr>
        <w:ind w:left="7044" w:hanging="461"/>
      </w:pPr>
      <w:rPr>
        <w:rFonts w:hint="default"/>
      </w:rPr>
    </w:lvl>
    <w:lvl w:ilvl="8">
      <w:start w:val="0"/>
      <w:numFmt w:val="bullet"/>
      <w:lvlText w:val="•"/>
      <w:lvlJc w:val="left"/>
      <w:pPr>
        <w:ind w:left="8036" w:hanging="461"/>
      </w:pPr>
      <w:rPr>
        <w:rFonts w:hint="default"/>
      </w:rPr>
    </w:lvl>
  </w:abstractNum>
  <w:abstractNum w:abstractNumId="26">
    <w:multiLevelType w:val="hybridMultilevel"/>
    <w:lvl w:ilvl="0">
      <w:start w:val="1"/>
      <w:numFmt w:val="lowerLetter"/>
      <w:lvlText w:val="%1)"/>
      <w:lvlJc w:val="left"/>
      <w:pPr>
        <w:ind w:left="108" w:hanging="247"/>
        <w:jc w:val="left"/>
      </w:pPr>
      <w:rPr>
        <w:rFonts w:hint="default" w:ascii="Arial" w:hAnsi="Arial" w:eastAsia="Arial" w:cs="Arial"/>
        <w:b/>
        <w:bCs/>
        <w:spacing w:val="-1"/>
        <w:w w:val="94"/>
        <w:sz w:val="20"/>
        <w:szCs w:val="20"/>
      </w:rPr>
    </w:lvl>
    <w:lvl w:ilvl="1">
      <w:start w:val="0"/>
      <w:numFmt w:val="bullet"/>
      <w:lvlText w:val="•"/>
      <w:lvlJc w:val="left"/>
      <w:pPr>
        <w:ind w:left="1092" w:hanging="247"/>
      </w:pPr>
      <w:rPr>
        <w:rFonts w:hint="default"/>
      </w:rPr>
    </w:lvl>
    <w:lvl w:ilvl="2">
      <w:start w:val="0"/>
      <w:numFmt w:val="bullet"/>
      <w:lvlText w:val="•"/>
      <w:lvlJc w:val="left"/>
      <w:pPr>
        <w:ind w:left="2084" w:hanging="247"/>
      </w:pPr>
      <w:rPr>
        <w:rFonts w:hint="default"/>
      </w:rPr>
    </w:lvl>
    <w:lvl w:ilvl="3">
      <w:start w:val="0"/>
      <w:numFmt w:val="bullet"/>
      <w:lvlText w:val="•"/>
      <w:lvlJc w:val="left"/>
      <w:pPr>
        <w:ind w:left="3076" w:hanging="247"/>
      </w:pPr>
      <w:rPr>
        <w:rFonts w:hint="default"/>
      </w:rPr>
    </w:lvl>
    <w:lvl w:ilvl="4">
      <w:start w:val="0"/>
      <w:numFmt w:val="bullet"/>
      <w:lvlText w:val="•"/>
      <w:lvlJc w:val="left"/>
      <w:pPr>
        <w:ind w:left="4068" w:hanging="247"/>
      </w:pPr>
      <w:rPr>
        <w:rFonts w:hint="default"/>
      </w:rPr>
    </w:lvl>
    <w:lvl w:ilvl="5">
      <w:start w:val="0"/>
      <w:numFmt w:val="bullet"/>
      <w:lvlText w:val="•"/>
      <w:lvlJc w:val="left"/>
      <w:pPr>
        <w:ind w:left="5060" w:hanging="247"/>
      </w:pPr>
      <w:rPr>
        <w:rFonts w:hint="default"/>
      </w:rPr>
    </w:lvl>
    <w:lvl w:ilvl="6">
      <w:start w:val="0"/>
      <w:numFmt w:val="bullet"/>
      <w:lvlText w:val="•"/>
      <w:lvlJc w:val="left"/>
      <w:pPr>
        <w:ind w:left="6052" w:hanging="247"/>
      </w:pPr>
      <w:rPr>
        <w:rFonts w:hint="default"/>
      </w:rPr>
    </w:lvl>
    <w:lvl w:ilvl="7">
      <w:start w:val="0"/>
      <w:numFmt w:val="bullet"/>
      <w:lvlText w:val="•"/>
      <w:lvlJc w:val="left"/>
      <w:pPr>
        <w:ind w:left="7044" w:hanging="247"/>
      </w:pPr>
      <w:rPr>
        <w:rFonts w:hint="default"/>
      </w:rPr>
    </w:lvl>
    <w:lvl w:ilvl="8">
      <w:start w:val="0"/>
      <w:numFmt w:val="bullet"/>
      <w:lvlText w:val="•"/>
      <w:lvlJc w:val="left"/>
      <w:pPr>
        <w:ind w:left="8036" w:hanging="247"/>
      </w:pPr>
      <w:rPr>
        <w:rFonts w:hint="default"/>
      </w:rPr>
    </w:lvl>
  </w:abstractNum>
  <w:abstractNum w:abstractNumId="25">
    <w:multiLevelType w:val="hybridMultilevel"/>
    <w:lvl w:ilvl="0">
      <w:start w:val="2"/>
      <w:numFmt w:val="lowerLetter"/>
      <w:lvlText w:val="%1)"/>
      <w:lvlJc w:val="left"/>
      <w:pPr>
        <w:ind w:left="108" w:hanging="255"/>
        <w:jc w:val="left"/>
      </w:pPr>
      <w:rPr>
        <w:rFonts w:hint="default" w:ascii="Calibri" w:hAnsi="Calibri" w:eastAsia="Calibri" w:cs="Calibri"/>
        <w:w w:val="97"/>
        <w:sz w:val="20"/>
        <w:szCs w:val="20"/>
      </w:rPr>
    </w:lvl>
    <w:lvl w:ilvl="1">
      <w:start w:val="0"/>
      <w:numFmt w:val="bullet"/>
      <w:lvlText w:val="•"/>
      <w:lvlJc w:val="left"/>
      <w:pPr>
        <w:ind w:left="1092" w:hanging="255"/>
      </w:pPr>
      <w:rPr>
        <w:rFonts w:hint="default"/>
      </w:rPr>
    </w:lvl>
    <w:lvl w:ilvl="2">
      <w:start w:val="0"/>
      <w:numFmt w:val="bullet"/>
      <w:lvlText w:val="•"/>
      <w:lvlJc w:val="left"/>
      <w:pPr>
        <w:ind w:left="2084" w:hanging="255"/>
      </w:pPr>
      <w:rPr>
        <w:rFonts w:hint="default"/>
      </w:rPr>
    </w:lvl>
    <w:lvl w:ilvl="3">
      <w:start w:val="0"/>
      <w:numFmt w:val="bullet"/>
      <w:lvlText w:val="•"/>
      <w:lvlJc w:val="left"/>
      <w:pPr>
        <w:ind w:left="3076" w:hanging="255"/>
      </w:pPr>
      <w:rPr>
        <w:rFonts w:hint="default"/>
      </w:rPr>
    </w:lvl>
    <w:lvl w:ilvl="4">
      <w:start w:val="0"/>
      <w:numFmt w:val="bullet"/>
      <w:lvlText w:val="•"/>
      <w:lvlJc w:val="left"/>
      <w:pPr>
        <w:ind w:left="4068" w:hanging="255"/>
      </w:pPr>
      <w:rPr>
        <w:rFonts w:hint="default"/>
      </w:rPr>
    </w:lvl>
    <w:lvl w:ilvl="5">
      <w:start w:val="0"/>
      <w:numFmt w:val="bullet"/>
      <w:lvlText w:val="•"/>
      <w:lvlJc w:val="left"/>
      <w:pPr>
        <w:ind w:left="5060" w:hanging="255"/>
      </w:pPr>
      <w:rPr>
        <w:rFonts w:hint="default"/>
      </w:rPr>
    </w:lvl>
    <w:lvl w:ilvl="6">
      <w:start w:val="0"/>
      <w:numFmt w:val="bullet"/>
      <w:lvlText w:val="•"/>
      <w:lvlJc w:val="left"/>
      <w:pPr>
        <w:ind w:left="6052" w:hanging="255"/>
      </w:pPr>
      <w:rPr>
        <w:rFonts w:hint="default"/>
      </w:rPr>
    </w:lvl>
    <w:lvl w:ilvl="7">
      <w:start w:val="0"/>
      <w:numFmt w:val="bullet"/>
      <w:lvlText w:val="•"/>
      <w:lvlJc w:val="left"/>
      <w:pPr>
        <w:ind w:left="7044" w:hanging="255"/>
      </w:pPr>
      <w:rPr>
        <w:rFonts w:hint="default"/>
      </w:rPr>
    </w:lvl>
    <w:lvl w:ilvl="8">
      <w:start w:val="0"/>
      <w:numFmt w:val="bullet"/>
      <w:lvlText w:val="•"/>
      <w:lvlJc w:val="left"/>
      <w:pPr>
        <w:ind w:left="8036" w:hanging="255"/>
      </w:pPr>
      <w:rPr>
        <w:rFonts w:hint="default"/>
      </w:rPr>
    </w:lvl>
  </w:abstractNum>
  <w:abstractNum w:abstractNumId="24">
    <w:multiLevelType w:val="hybridMultilevel"/>
    <w:lvl w:ilvl="0">
      <w:start w:val="1"/>
      <w:numFmt w:val="lowerLetter"/>
      <w:lvlText w:val="%1)"/>
      <w:lvlJc w:val="left"/>
      <w:pPr>
        <w:ind w:left="108" w:hanging="366"/>
        <w:jc w:val="left"/>
      </w:pPr>
      <w:rPr>
        <w:rFonts w:hint="default" w:ascii="Arial" w:hAnsi="Arial" w:eastAsia="Arial" w:cs="Arial"/>
        <w:b/>
        <w:bCs/>
        <w:spacing w:val="-1"/>
        <w:w w:val="94"/>
        <w:sz w:val="20"/>
        <w:szCs w:val="20"/>
      </w:rPr>
    </w:lvl>
    <w:lvl w:ilvl="1">
      <w:start w:val="0"/>
      <w:numFmt w:val="bullet"/>
      <w:lvlText w:val="•"/>
      <w:lvlJc w:val="left"/>
      <w:pPr>
        <w:ind w:left="1092" w:hanging="366"/>
      </w:pPr>
      <w:rPr>
        <w:rFonts w:hint="default"/>
      </w:rPr>
    </w:lvl>
    <w:lvl w:ilvl="2">
      <w:start w:val="0"/>
      <w:numFmt w:val="bullet"/>
      <w:lvlText w:val="•"/>
      <w:lvlJc w:val="left"/>
      <w:pPr>
        <w:ind w:left="2084" w:hanging="366"/>
      </w:pPr>
      <w:rPr>
        <w:rFonts w:hint="default"/>
      </w:rPr>
    </w:lvl>
    <w:lvl w:ilvl="3">
      <w:start w:val="0"/>
      <w:numFmt w:val="bullet"/>
      <w:lvlText w:val="•"/>
      <w:lvlJc w:val="left"/>
      <w:pPr>
        <w:ind w:left="3076" w:hanging="366"/>
      </w:pPr>
      <w:rPr>
        <w:rFonts w:hint="default"/>
      </w:rPr>
    </w:lvl>
    <w:lvl w:ilvl="4">
      <w:start w:val="0"/>
      <w:numFmt w:val="bullet"/>
      <w:lvlText w:val="•"/>
      <w:lvlJc w:val="left"/>
      <w:pPr>
        <w:ind w:left="4068" w:hanging="366"/>
      </w:pPr>
      <w:rPr>
        <w:rFonts w:hint="default"/>
      </w:rPr>
    </w:lvl>
    <w:lvl w:ilvl="5">
      <w:start w:val="0"/>
      <w:numFmt w:val="bullet"/>
      <w:lvlText w:val="•"/>
      <w:lvlJc w:val="left"/>
      <w:pPr>
        <w:ind w:left="5060" w:hanging="366"/>
      </w:pPr>
      <w:rPr>
        <w:rFonts w:hint="default"/>
      </w:rPr>
    </w:lvl>
    <w:lvl w:ilvl="6">
      <w:start w:val="0"/>
      <w:numFmt w:val="bullet"/>
      <w:lvlText w:val="•"/>
      <w:lvlJc w:val="left"/>
      <w:pPr>
        <w:ind w:left="6052" w:hanging="366"/>
      </w:pPr>
      <w:rPr>
        <w:rFonts w:hint="default"/>
      </w:rPr>
    </w:lvl>
    <w:lvl w:ilvl="7">
      <w:start w:val="0"/>
      <w:numFmt w:val="bullet"/>
      <w:lvlText w:val="•"/>
      <w:lvlJc w:val="left"/>
      <w:pPr>
        <w:ind w:left="7044" w:hanging="366"/>
      </w:pPr>
      <w:rPr>
        <w:rFonts w:hint="default"/>
      </w:rPr>
    </w:lvl>
    <w:lvl w:ilvl="8">
      <w:start w:val="0"/>
      <w:numFmt w:val="bullet"/>
      <w:lvlText w:val="•"/>
      <w:lvlJc w:val="left"/>
      <w:pPr>
        <w:ind w:left="8036" w:hanging="366"/>
      </w:pPr>
      <w:rPr>
        <w:rFonts w:hint="default"/>
      </w:rPr>
    </w:lvl>
  </w:abstractNum>
  <w:abstractNum w:abstractNumId="23">
    <w:multiLevelType w:val="hybridMultilevel"/>
    <w:lvl w:ilvl="0">
      <w:start w:val="1"/>
      <w:numFmt w:val="lowerLetter"/>
      <w:lvlText w:val="%1)"/>
      <w:lvlJc w:val="left"/>
      <w:pPr>
        <w:ind w:left="108" w:hanging="261"/>
        <w:jc w:val="left"/>
      </w:pPr>
      <w:rPr>
        <w:rFonts w:hint="default" w:ascii="Arial" w:hAnsi="Arial" w:eastAsia="Arial" w:cs="Arial"/>
        <w:b/>
        <w:bCs/>
        <w:spacing w:val="-1"/>
        <w:w w:val="94"/>
        <w:sz w:val="20"/>
        <w:szCs w:val="20"/>
      </w:rPr>
    </w:lvl>
    <w:lvl w:ilvl="1">
      <w:start w:val="1"/>
      <w:numFmt w:val="decimal"/>
      <w:lvlText w:val="%2."/>
      <w:lvlJc w:val="left"/>
      <w:pPr>
        <w:ind w:left="108" w:hanging="234"/>
        <w:jc w:val="right"/>
      </w:pPr>
      <w:rPr>
        <w:rFonts w:hint="default" w:ascii="Arial" w:hAnsi="Arial" w:eastAsia="Arial" w:cs="Arial"/>
        <w:b/>
        <w:bCs/>
        <w:spacing w:val="-42"/>
        <w:w w:val="102"/>
        <w:sz w:val="20"/>
        <w:szCs w:val="20"/>
      </w:rPr>
    </w:lvl>
    <w:lvl w:ilvl="2">
      <w:start w:val="0"/>
      <w:numFmt w:val="bullet"/>
      <w:lvlText w:val="•"/>
      <w:lvlJc w:val="left"/>
      <w:pPr>
        <w:ind w:left="2084" w:hanging="234"/>
      </w:pPr>
      <w:rPr>
        <w:rFonts w:hint="default"/>
      </w:rPr>
    </w:lvl>
    <w:lvl w:ilvl="3">
      <w:start w:val="0"/>
      <w:numFmt w:val="bullet"/>
      <w:lvlText w:val="•"/>
      <w:lvlJc w:val="left"/>
      <w:pPr>
        <w:ind w:left="3076" w:hanging="234"/>
      </w:pPr>
      <w:rPr>
        <w:rFonts w:hint="default"/>
      </w:rPr>
    </w:lvl>
    <w:lvl w:ilvl="4">
      <w:start w:val="0"/>
      <w:numFmt w:val="bullet"/>
      <w:lvlText w:val="•"/>
      <w:lvlJc w:val="left"/>
      <w:pPr>
        <w:ind w:left="4068" w:hanging="234"/>
      </w:pPr>
      <w:rPr>
        <w:rFonts w:hint="default"/>
      </w:rPr>
    </w:lvl>
    <w:lvl w:ilvl="5">
      <w:start w:val="0"/>
      <w:numFmt w:val="bullet"/>
      <w:lvlText w:val="•"/>
      <w:lvlJc w:val="left"/>
      <w:pPr>
        <w:ind w:left="5060" w:hanging="234"/>
      </w:pPr>
      <w:rPr>
        <w:rFonts w:hint="default"/>
      </w:rPr>
    </w:lvl>
    <w:lvl w:ilvl="6">
      <w:start w:val="0"/>
      <w:numFmt w:val="bullet"/>
      <w:lvlText w:val="•"/>
      <w:lvlJc w:val="left"/>
      <w:pPr>
        <w:ind w:left="6052" w:hanging="234"/>
      </w:pPr>
      <w:rPr>
        <w:rFonts w:hint="default"/>
      </w:rPr>
    </w:lvl>
    <w:lvl w:ilvl="7">
      <w:start w:val="0"/>
      <w:numFmt w:val="bullet"/>
      <w:lvlText w:val="•"/>
      <w:lvlJc w:val="left"/>
      <w:pPr>
        <w:ind w:left="7044" w:hanging="234"/>
      </w:pPr>
      <w:rPr>
        <w:rFonts w:hint="default"/>
      </w:rPr>
    </w:lvl>
    <w:lvl w:ilvl="8">
      <w:start w:val="0"/>
      <w:numFmt w:val="bullet"/>
      <w:lvlText w:val="•"/>
      <w:lvlJc w:val="left"/>
      <w:pPr>
        <w:ind w:left="8036" w:hanging="234"/>
      </w:pPr>
      <w:rPr>
        <w:rFonts w:hint="default"/>
      </w:rPr>
    </w:lvl>
  </w:abstractNum>
  <w:abstractNum w:abstractNumId="22">
    <w:multiLevelType w:val="hybridMultilevel"/>
    <w:lvl w:ilvl="0">
      <w:start w:val="1"/>
      <w:numFmt w:val="lowerLetter"/>
      <w:lvlText w:val="%1)"/>
      <w:lvlJc w:val="left"/>
      <w:pPr>
        <w:ind w:left="108" w:hanging="245"/>
        <w:jc w:val="left"/>
      </w:pPr>
      <w:rPr>
        <w:rFonts w:hint="default" w:ascii="Arial" w:hAnsi="Arial" w:eastAsia="Arial" w:cs="Arial"/>
        <w:b/>
        <w:bCs/>
        <w:spacing w:val="-1"/>
        <w:w w:val="94"/>
        <w:sz w:val="20"/>
        <w:szCs w:val="20"/>
      </w:rPr>
    </w:lvl>
    <w:lvl w:ilvl="1">
      <w:start w:val="0"/>
      <w:numFmt w:val="bullet"/>
      <w:lvlText w:val="•"/>
      <w:lvlJc w:val="left"/>
      <w:pPr>
        <w:ind w:left="1092" w:hanging="245"/>
      </w:pPr>
      <w:rPr>
        <w:rFonts w:hint="default"/>
      </w:rPr>
    </w:lvl>
    <w:lvl w:ilvl="2">
      <w:start w:val="0"/>
      <w:numFmt w:val="bullet"/>
      <w:lvlText w:val="•"/>
      <w:lvlJc w:val="left"/>
      <w:pPr>
        <w:ind w:left="2084" w:hanging="245"/>
      </w:pPr>
      <w:rPr>
        <w:rFonts w:hint="default"/>
      </w:rPr>
    </w:lvl>
    <w:lvl w:ilvl="3">
      <w:start w:val="0"/>
      <w:numFmt w:val="bullet"/>
      <w:lvlText w:val="•"/>
      <w:lvlJc w:val="left"/>
      <w:pPr>
        <w:ind w:left="3076" w:hanging="245"/>
      </w:pPr>
      <w:rPr>
        <w:rFonts w:hint="default"/>
      </w:rPr>
    </w:lvl>
    <w:lvl w:ilvl="4">
      <w:start w:val="0"/>
      <w:numFmt w:val="bullet"/>
      <w:lvlText w:val="•"/>
      <w:lvlJc w:val="left"/>
      <w:pPr>
        <w:ind w:left="4068" w:hanging="245"/>
      </w:pPr>
      <w:rPr>
        <w:rFonts w:hint="default"/>
      </w:rPr>
    </w:lvl>
    <w:lvl w:ilvl="5">
      <w:start w:val="0"/>
      <w:numFmt w:val="bullet"/>
      <w:lvlText w:val="•"/>
      <w:lvlJc w:val="left"/>
      <w:pPr>
        <w:ind w:left="5060" w:hanging="245"/>
      </w:pPr>
      <w:rPr>
        <w:rFonts w:hint="default"/>
      </w:rPr>
    </w:lvl>
    <w:lvl w:ilvl="6">
      <w:start w:val="0"/>
      <w:numFmt w:val="bullet"/>
      <w:lvlText w:val="•"/>
      <w:lvlJc w:val="left"/>
      <w:pPr>
        <w:ind w:left="6052" w:hanging="245"/>
      </w:pPr>
      <w:rPr>
        <w:rFonts w:hint="default"/>
      </w:rPr>
    </w:lvl>
    <w:lvl w:ilvl="7">
      <w:start w:val="0"/>
      <w:numFmt w:val="bullet"/>
      <w:lvlText w:val="•"/>
      <w:lvlJc w:val="left"/>
      <w:pPr>
        <w:ind w:left="7044" w:hanging="245"/>
      </w:pPr>
      <w:rPr>
        <w:rFonts w:hint="default"/>
      </w:rPr>
    </w:lvl>
    <w:lvl w:ilvl="8">
      <w:start w:val="0"/>
      <w:numFmt w:val="bullet"/>
      <w:lvlText w:val="•"/>
      <w:lvlJc w:val="left"/>
      <w:pPr>
        <w:ind w:left="8036" w:hanging="245"/>
      </w:pPr>
      <w:rPr>
        <w:rFonts w:hint="default"/>
      </w:rPr>
    </w:lvl>
  </w:abstractNum>
  <w:abstractNum w:abstractNumId="21">
    <w:multiLevelType w:val="hybridMultilevel"/>
    <w:lvl w:ilvl="0">
      <w:start w:val="1"/>
      <w:numFmt w:val="lowerLetter"/>
      <w:lvlText w:val="%1)"/>
      <w:lvlJc w:val="left"/>
      <w:pPr>
        <w:ind w:left="108" w:hanging="259"/>
        <w:jc w:val="left"/>
      </w:pPr>
      <w:rPr>
        <w:rFonts w:hint="default"/>
        <w:b/>
        <w:bCs/>
        <w:spacing w:val="-1"/>
        <w:w w:val="94"/>
      </w:rPr>
    </w:lvl>
    <w:lvl w:ilvl="1">
      <w:start w:val="0"/>
      <w:numFmt w:val="bullet"/>
      <w:lvlText w:val="•"/>
      <w:lvlJc w:val="left"/>
      <w:pPr>
        <w:ind w:left="1092" w:hanging="259"/>
      </w:pPr>
      <w:rPr>
        <w:rFonts w:hint="default"/>
      </w:rPr>
    </w:lvl>
    <w:lvl w:ilvl="2">
      <w:start w:val="0"/>
      <w:numFmt w:val="bullet"/>
      <w:lvlText w:val="•"/>
      <w:lvlJc w:val="left"/>
      <w:pPr>
        <w:ind w:left="2084" w:hanging="259"/>
      </w:pPr>
      <w:rPr>
        <w:rFonts w:hint="default"/>
      </w:rPr>
    </w:lvl>
    <w:lvl w:ilvl="3">
      <w:start w:val="0"/>
      <w:numFmt w:val="bullet"/>
      <w:lvlText w:val="•"/>
      <w:lvlJc w:val="left"/>
      <w:pPr>
        <w:ind w:left="3076" w:hanging="259"/>
      </w:pPr>
      <w:rPr>
        <w:rFonts w:hint="default"/>
      </w:rPr>
    </w:lvl>
    <w:lvl w:ilvl="4">
      <w:start w:val="0"/>
      <w:numFmt w:val="bullet"/>
      <w:lvlText w:val="•"/>
      <w:lvlJc w:val="left"/>
      <w:pPr>
        <w:ind w:left="4068" w:hanging="259"/>
      </w:pPr>
      <w:rPr>
        <w:rFonts w:hint="default"/>
      </w:rPr>
    </w:lvl>
    <w:lvl w:ilvl="5">
      <w:start w:val="0"/>
      <w:numFmt w:val="bullet"/>
      <w:lvlText w:val="•"/>
      <w:lvlJc w:val="left"/>
      <w:pPr>
        <w:ind w:left="5060" w:hanging="259"/>
      </w:pPr>
      <w:rPr>
        <w:rFonts w:hint="default"/>
      </w:rPr>
    </w:lvl>
    <w:lvl w:ilvl="6">
      <w:start w:val="0"/>
      <w:numFmt w:val="bullet"/>
      <w:lvlText w:val="•"/>
      <w:lvlJc w:val="left"/>
      <w:pPr>
        <w:ind w:left="6052" w:hanging="259"/>
      </w:pPr>
      <w:rPr>
        <w:rFonts w:hint="default"/>
      </w:rPr>
    </w:lvl>
    <w:lvl w:ilvl="7">
      <w:start w:val="0"/>
      <w:numFmt w:val="bullet"/>
      <w:lvlText w:val="•"/>
      <w:lvlJc w:val="left"/>
      <w:pPr>
        <w:ind w:left="7044" w:hanging="259"/>
      </w:pPr>
      <w:rPr>
        <w:rFonts w:hint="default"/>
      </w:rPr>
    </w:lvl>
    <w:lvl w:ilvl="8">
      <w:start w:val="0"/>
      <w:numFmt w:val="bullet"/>
      <w:lvlText w:val="•"/>
      <w:lvlJc w:val="left"/>
      <w:pPr>
        <w:ind w:left="8036" w:hanging="259"/>
      </w:pPr>
      <w:rPr>
        <w:rFonts w:hint="default"/>
      </w:rPr>
    </w:lvl>
  </w:abstractNum>
  <w:abstractNum w:abstractNumId="20">
    <w:multiLevelType w:val="hybridMultilevel"/>
    <w:lvl w:ilvl="0">
      <w:start w:val="1"/>
      <w:numFmt w:val="lowerLetter"/>
      <w:lvlText w:val="%1)"/>
      <w:lvlJc w:val="left"/>
      <w:pPr>
        <w:ind w:left="108" w:hanging="253"/>
        <w:jc w:val="left"/>
      </w:pPr>
      <w:rPr>
        <w:rFonts w:hint="default" w:ascii="Arial" w:hAnsi="Arial" w:eastAsia="Arial" w:cs="Arial"/>
        <w:b/>
        <w:bCs/>
        <w:spacing w:val="-1"/>
        <w:w w:val="94"/>
        <w:sz w:val="20"/>
        <w:szCs w:val="20"/>
      </w:rPr>
    </w:lvl>
    <w:lvl w:ilvl="1">
      <w:start w:val="0"/>
      <w:numFmt w:val="bullet"/>
      <w:lvlText w:val="•"/>
      <w:lvlJc w:val="left"/>
      <w:pPr>
        <w:ind w:left="1092" w:hanging="253"/>
      </w:pPr>
      <w:rPr>
        <w:rFonts w:hint="default"/>
      </w:rPr>
    </w:lvl>
    <w:lvl w:ilvl="2">
      <w:start w:val="0"/>
      <w:numFmt w:val="bullet"/>
      <w:lvlText w:val="•"/>
      <w:lvlJc w:val="left"/>
      <w:pPr>
        <w:ind w:left="2084" w:hanging="253"/>
      </w:pPr>
      <w:rPr>
        <w:rFonts w:hint="default"/>
      </w:rPr>
    </w:lvl>
    <w:lvl w:ilvl="3">
      <w:start w:val="0"/>
      <w:numFmt w:val="bullet"/>
      <w:lvlText w:val="•"/>
      <w:lvlJc w:val="left"/>
      <w:pPr>
        <w:ind w:left="3076" w:hanging="253"/>
      </w:pPr>
      <w:rPr>
        <w:rFonts w:hint="default"/>
      </w:rPr>
    </w:lvl>
    <w:lvl w:ilvl="4">
      <w:start w:val="0"/>
      <w:numFmt w:val="bullet"/>
      <w:lvlText w:val="•"/>
      <w:lvlJc w:val="left"/>
      <w:pPr>
        <w:ind w:left="4068" w:hanging="253"/>
      </w:pPr>
      <w:rPr>
        <w:rFonts w:hint="default"/>
      </w:rPr>
    </w:lvl>
    <w:lvl w:ilvl="5">
      <w:start w:val="0"/>
      <w:numFmt w:val="bullet"/>
      <w:lvlText w:val="•"/>
      <w:lvlJc w:val="left"/>
      <w:pPr>
        <w:ind w:left="5060" w:hanging="253"/>
      </w:pPr>
      <w:rPr>
        <w:rFonts w:hint="default"/>
      </w:rPr>
    </w:lvl>
    <w:lvl w:ilvl="6">
      <w:start w:val="0"/>
      <w:numFmt w:val="bullet"/>
      <w:lvlText w:val="•"/>
      <w:lvlJc w:val="left"/>
      <w:pPr>
        <w:ind w:left="6052" w:hanging="253"/>
      </w:pPr>
      <w:rPr>
        <w:rFonts w:hint="default"/>
      </w:rPr>
    </w:lvl>
    <w:lvl w:ilvl="7">
      <w:start w:val="0"/>
      <w:numFmt w:val="bullet"/>
      <w:lvlText w:val="•"/>
      <w:lvlJc w:val="left"/>
      <w:pPr>
        <w:ind w:left="7044" w:hanging="253"/>
      </w:pPr>
      <w:rPr>
        <w:rFonts w:hint="default"/>
      </w:rPr>
    </w:lvl>
    <w:lvl w:ilvl="8">
      <w:start w:val="0"/>
      <w:numFmt w:val="bullet"/>
      <w:lvlText w:val="•"/>
      <w:lvlJc w:val="left"/>
      <w:pPr>
        <w:ind w:left="8036" w:hanging="253"/>
      </w:pPr>
      <w:rPr>
        <w:rFonts w:hint="default"/>
      </w:rPr>
    </w:lvl>
  </w:abstractNum>
  <w:abstractNum w:abstractNumId="19">
    <w:multiLevelType w:val="hybridMultilevel"/>
    <w:lvl w:ilvl="0">
      <w:start w:val="1"/>
      <w:numFmt w:val="decimal"/>
      <w:lvlText w:val="%1."/>
      <w:lvlJc w:val="left"/>
      <w:pPr>
        <w:ind w:left="328" w:hanging="221"/>
        <w:jc w:val="right"/>
      </w:pPr>
      <w:rPr>
        <w:rFonts w:hint="default"/>
        <w:spacing w:val="-1"/>
        <w:w w:val="103"/>
      </w:rPr>
    </w:lvl>
    <w:lvl w:ilvl="1">
      <w:start w:val="0"/>
      <w:numFmt w:val="bullet"/>
      <w:lvlText w:val="•"/>
      <w:lvlJc w:val="left"/>
      <w:pPr>
        <w:ind w:left="1290" w:hanging="221"/>
      </w:pPr>
      <w:rPr>
        <w:rFonts w:hint="default"/>
      </w:rPr>
    </w:lvl>
    <w:lvl w:ilvl="2">
      <w:start w:val="0"/>
      <w:numFmt w:val="bullet"/>
      <w:lvlText w:val="•"/>
      <w:lvlJc w:val="left"/>
      <w:pPr>
        <w:ind w:left="2260" w:hanging="221"/>
      </w:pPr>
      <w:rPr>
        <w:rFonts w:hint="default"/>
      </w:rPr>
    </w:lvl>
    <w:lvl w:ilvl="3">
      <w:start w:val="0"/>
      <w:numFmt w:val="bullet"/>
      <w:lvlText w:val="•"/>
      <w:lvlJc w:val="left"/>
      <w:pPr>
        <w:ind w:left="3230" w:hanging="221"/>
      </w:pPr>
      <w:rPr>
        <w:rFonts w:hint="default"/>
      </w:rPr>
    </w:lvl>
    <w:lvl w:ilvl="4">
      <w:start w:val="0"/>
      <w:numFmt w:val="bullet"/>
      <w:lvlText w:val="•"/>
      <w:lvlJc w:val="left"/>
      <w:pPr>
        <w:ind w:left="4200" w:hanging="221"/>
      </w:pPr>
      <w:rPr>
        <w:rFonts w:hint="default"/>
      </w:rPr>
    </w:lvl>
    <w:lvl w:ilvl="5">
      <w:start w:val="0"/>
      <w:numFmt w:val="bullet"/>
      <w:lvlText w:val="•"/>
      <w:lvlJc w:val="left"/>
      <w:pPr>
        <w:ind w:left="5170" w:hanging="221"/>
      </w:pPr>
      <w:rPr>
        <w:rFonts w:hint="default"/>
      </w:rPr>
    </w:lvl>
    <w:lvl w:ilvl="6">
      <w:start w:val="0"/>
      <w:numFmt w:val="bullet"/>
      <w:lvlText w:val="•"/>
      <w:lvlJc w:val="left"/>
      <w:pPr>
        <w:ind w:left="6140" w:hanging="221"/>
      </w:pPr>
      <w:rPr>
        <w:rFonts w:hint="default"/>
      </w:rPr>
    </w:lvl>
    <w:lvl w:ilvl="7">
      <w:start w:val="0"/>
      <w:numFmt w:val="bullet"/>
      <w:lvlText w:val="•"/>
      <w:lvlJc w:val="left"/>
      <w:pPr>
        <w:ind w:left="7110" w:hanging="221"/>
      </w:pPr>
      <w:rPr>
        <w:rFonts w:hint="default"/>
      </w:rPr>
    </w:lvl>
    <w:lvl w:ilvl="8">
      <w:start w:val="0"/>
      <w:numFmt w:val="bullet"/>
      <w:lvlText w:val="•"/>
      <w:lvlJc w:val="left"/>
      <w:pPr>
        <w:ind w:left="8080" w:hanging="221"/>
      </w:pPr>
      <w:rPr>
        <w:rFonts w:hint="default"/>
      </w:rPr>
    </w:lvl>
  </w:abstractNum>
  <w:abstractNum w:abstractNumId="18">
    <w:multiLevelType w:val="hybridMultilevel"/>
    <w:lvl w:ilvl="0">
      <w:start w:val="1"/>
      <w:numFmt w:val="lowerLetter"/>
      <w:lvlText w:val="%1)"/>
      <w:lvlJc w:val="left"/>
      <w:pPr>
        <w:ind w:left="108" w:hanging="242"/>
        <w:jc w:val="left"/>
      </w:pPr>
      <w:rPr>
        <w:rFonts w:hint="default" w:ascii="Arial" w:hAnsi="Arial" w:eastAsia="Arial" w:cs="Arial"/>
        <w:b/>
        <w:bCs/>
        <w:spacing w:val="-1"/>
        <w:w w:val="94"/>
        <w:sz w:val="20"/>
        <w:szCs w:val="20"/>
      </w:rPr>
    </w:lvl>
    <w:lvl w:ilvl="1">
      <w:start w:val="0"/>
      <w:numFmt w:val="bullet"/>
      <w:lvlText w:val="•"/>
      <w:lvlJc w:val="left"/>
      <w:pPr>
        <w:ind w:left="1092" w:hanging="242"/>
      </w:pPr>
      <w:rPr>
        <w:rFonts w:hint="default"/>
      </w:rPr>
    </w:lvl>
    <w:lvl w:ilvl="2">
      <w:start w:val="0"/>
      <w:numFmt w:val="bullet"/>
      <w:lvlText w:val="•"/>
      <w:lvlJc w:val="left"/>
      <w:pPr>
        <w:ind w:left="2084" w:hanging="242"/>
      </w:pPr>
      <w:rPr>
        <w:rFonts w:hint="default"/>
      </w:rPr>
    </w:lvl>
    <w:lvl w:ilvl="3">
      <w:start w:val="0"/>
      <w:numFmt w:val="bullet"/>
      <w:lvlText w:val="•"/>
      <w:lvlJc w:val="left"/>
      <w:pPr>
        <w:ind w:left="3076" w:hanging="242"/>
      </w:pPr>
      <w:rPr>
        <w:rFonts w:hint="default"/>
      </w:rPr>
    </w:lvl>
    <w:lvl w:ilvl="4">
      <w:start w:val="0"/>
      <w:numFmt w:val="bullet"/>
      <w:lvlText w:val="•"/>
      <w:lvlJc w:val="left"/>
      <w:pPr>
        <w:ind w:left="4068" w:hanging="242"/>
      </w:pPr>
      <w:rPr>
        <w:rFonts w:hint="default"/>
      </w:rPr>
    </w:lvl>
    <w:lvl w:ilvl="5">
      <w:start w:val="0"/>
      <w:numFmt w:val="bullet"/>
      <w:lvlText w:val="•"/>
      <w:lvlJc w:val="left"/>
      <w:pPr>
        <w:ind w:left="5060" w:hanging="242"/>
      </w:pPr>
      <w:rPr>
        <w:rFonts w:hint="default"/>
      </w:rPr>
    </w:lvl>
    <w:lvl w:ilvl="6">
      <w:start w:val="0"/>
      <w:numFmt w:val="bullet"/>
      <w:lvlText w:val="•"/>
      <w:lvlJc w:val="left"/>
      <w:pPr>
        <w:ind w:left="6052" w:hanging="242"/>
      </w:pPr>
      <w:rPr>
        <w:rFonts w:hint="default"/>
      </w:rPr>
    </w:lvl>
    <w:lvl w:ilvl="7">
      <w:start w:val="0"/>
      <w:numFmt w:val="bullet"/>
      <w:lvlText w:val="•"/>
      <w:lvlJc w:val="left"/>
      <w:pPr>
        <w:ind w:left="7044" w:hanging="242"/>
      </w:pPr>
      <w:rPr>
        <w:rFonts w:hint="default"/>
      </w:rPr>
    </w:lvl>
    <w:lvl w:ilvl="8">
      <w:start w:val="0"/>
      <w:numFmt w:val="bullet"/>
      <w:lvlText w:val="•"/>
      <w:lvlJc w:val="left"/>
      <w:pPr>
        <w:ind w:left="8036" w:hanging="242"/>
      </w:pPr>
      <w:rPr>
        <w:rFonts w:hint="default"/>
      </w:rPr>
    </w:lvl>
  </w:abstractNum>
  <w:abstractNum w:abstractNumId="17">
    <w:multiLevelType w:val="hybridMultilevel"/>
    <w:lvl w:ilvl="0">
      <w:start w:val="4"/>
      <w:numFmt w:val="decimal"/>
      <w:lvlText w:val="%1)"/>
      <w:lvlJc w:val="left"/>
      <w:pPr>
        <w:ind w:left="108" w:hanging="265"/>
        <w:jc w:val="left"/>
      </w:pPr>
      <w:rPr>
        <w:rFonts w:hint="default"/>
        <w:b/>
        <w:bCs/>
        <w:spacing w:val="-1"/>
        <w:w w:val="94"/>
      </w:rPr>
    </w:lvl>
    <w:lvl w:ilvl="1">
      <w:start w:val="6"/>
      <w:numFmt w:val="decimal"/>
      <w:lvlText w:val="%2)"/>
      <w:lvlJc w:val="left"/>
      <w:pPr>
        <w:ind w:left="108" w:hanging="241"/>
        <w:jc w:val="left"/>
      </w:pPr>
      <w:rPr>
        <w:rFonts w:hint="default" w:ascii="Calibri" w:hAnsi="Calibri" w:eastAsia="Calibri" w:cs="Calibri"/>
        <w:spacing w:val="-1"/>
        <w:w w:val="97"/>
        <w:sz w:val="20"/>
        <w:szCs w:val="20"/>
      </w:rPr>
    </w:lvl>
    <w:lvl w:ilvl="2">
      <w:start w:val="1"/>
      <w:numFmt w:val="decimal"/>
      <w:lvlText w:val="%3."/>
      <w:lvlJc w:val="left"/>
      <w:pPr>
        <w:ind w:left="108" w:hanging="339"/>
        <w:jc w:val="right"/>
      </w:pPr>
      <w:rPr>
        <w:rFonts w:hint="default" w:ascii="Arial" w:hAnsi="Arial" w:eastAsia="Arial" w:cs="Arial"/>
        <w:b/>
        <w:bCs/>
        <w:spacing w:val="-1"/>
        <w:w w:val="98"/>
        <w:sz w:val="20"/>
        <w:szCs w:val="20"/>
      </w:rPr>
    </w:lvl>
    <w:lvl w:ilvl="3">
      <w:start w:val="1"/>
      <w:numFmt w:val="lowerLetter"/>
      <w:lvlText w:val="%4)"/>
      <w:lvlJc w:val="left"/>
      <w:pPr>
        <w:ind w:left="1046" w:hanging="265"/>
        <w:jc w:val="left"/>
      </w:pPr>
      <w:rPr>
        <w:rFonts w:hint="default" w:ascii="Arial" w:hAnsi="Arial" w:eastAsia="Arial" w:cs="Arial"/>
        <w:b/>
        <w:bCs/>
        <w:spacing w:val="-1"/>
        <w:w w:val="94"/>
        <w:sz w:val="20"/>
        <w:szCs w:val="20"/>
      </w:rPr>
    </w:lvl>
    <w:lvl w:ilvl="4">
      <w:start w:val="0"/>
      <w:numFmt w:val="bullet"/>
      <w:lvlText w:val="•"/>
      <w:lvlJc w:val="left"/>
      <w:pPr>
        <w:ind w:left="4033" w:hanging="265"/>
      </w:pPr>
      <w:rPr>
        <w:rFonts w:hint="default"/>
      </w:rPr>
    </w:lvl>
    <w:lvl w:ilvl="5">
      <w:start w:val="0"/>
      <w:numFmt w:val="bullet"/>
      <w:lvlText w:val="•"/>
      <w:lvlJc w:val="left"/>
      <w:pPr>
        <w:ind w:left="5031" w:hanging="265"/>
      </w:pPr>
      <w:rPr>
        <w:rFonts w:hint="default"/>
      </w:rPr>
    </w:lvl>
    <w:lvl w:ilvl="6">
      <w:start w:val="0"/>
      <w:numFmt w:val="bullet"/>
      <w:lvlText w:val="•"/>
      <w:lvlJc w:val="left"/>
      <w:pPr>
        <w:ind w:left="6028" w:hanging="265"/>
      </w:pPr>
      <w:rPr>
        <w:rFonts w:hint="default"/>
      </w:rPr>
    </w:lvl>
    <w:lvl w:ilvl="7">
      <w:start w:val="0"/>
      <w:numFmt w:val="bullet"/>
      <w:lvlText w:val="•"/>
      <w:lvlJc w:val="left"/>
      <w:pPr>
        <w:ind w:left="7026" w:hanging="265"/>
      </w:pPr>
      <w:rPr>
        <w:rFonts w:hint="default"/>
      </w:rPr>
    </w:lvl>
    <w:lvl w:ilvl="8">
      <w:start w:val="0"/>
      <w:numFmt w:val="bullet"/>
      <w:lvlText w:val="•"/>
      <w:lvlJc w:val="left"/>
      <w:pPr>
        <w:ind w:left="8024" w:hanging="265"/>
      </w:pPr>
      <w:rPr>
        <w:rFonts w:hint="default"/>
      </w:rPr>
    </w:lvl>
  </w:abstractNum>
  <w:abstractNum w:abstractNumId="16">
    <w:multiLevelType w:val="hybridMultilevel"/>
    <w:lvl w:ilvl="0">
      <w:start w:val="1"/>
      <w:numFmt w:val="lowerLetter"/>
      <w:lvlText w:val="%1)"/>
      <w:lvlJc w:val="left"/>
      <w:pPr>
        <w:ind w:left="108" w:hanging="248"/>
        <w:jc w:val="left"/>
      </w:pPr>
      <w:rPr>
        <w:rFonts w:hint="default" w:ascii="Arial" w:hAnsi="Arial" w:eastAsia="Arial" w:cs="Arial"/>
        <w:b/>
        <w:bCs/>
        <w:spacing w:val="-1"/>
        <w:w w:val="94"/>
        <w:sz w:val="20"/>
        <w:szCs w:val="20"/>
      </w:rPr>
    </w:lvl>
    <w:lvl w:ilvl="1">
      <w:start w:val="0"/>
      <w:numFmt w:val="bullet"/>
      <w:lvlText w:val="•"/>
      <w:lvlJc w:val="left"/>
      <w:pPr>
        <w:ind w:left="1092" w:hanging="248"/>
      </w:pPr>
      <w:rPr>
        <w:rFonts w:hint="default"/>
      </w:rPr>
    </w:lvl>
    <w:lvl w:ilvl="2">
      <w:start w:val="0"/>
      <w:numFmt w:val="bullet"/>
      <w:lvlText w:val="•"/>
      <w:lvlJc w:val="left"/>
      <w:pPr>
        <w:ind w:left="2084" w:hanging="248"/>
      </w:pPr>
      <w:rPr>
        <w:rFonts w:hint="default"/>
      </w:rPr>
    </w:lvl>
    <w:lvl w:ilvl="3">
      <w:start w:val="0"/>
      <w:numFmt w:val="bullet"/>
      <w:lvlText w:val="•"/>
      <w:lvlJc w:val="left"/>
      <w:pPr>
        <w:ind w:left="3076" w:hanging="248"/>
      </w:pPr>
      <w:rPr>
        <w:rFonts w:hint="default"/>
      </w:rPr>
    </w:lvl>
    <w:lvl w:ilvl="4">
      <w:start w:val="0"/>
      <w:numFmt w:val="bullet"/>
      <w:lvlText w:val="•"/>
      <w:lvlJc w:val="left"/>
      <w:pPr>
        <w:ind w:left="4068" w:hanging="248"/>
      </w:pPr>
      <w:rPr>
        <w:rFonts w:hint="default"/>
      </w:rPr>
    </w:lvl>
    <w:lvl w:ilvl="5">
      <w:start w:val="0"/>
      <w:numFmt w:val="bullet"/>
      <w:lvlText w:val="•"/>
      <w:lvlJc w:val="left"/>
      <w:pPr>
        <w:ind w:left="5060" w:hanging="248"/>
      </w:pPr>
      <w:rPr>
        <w:rFonts w:hint="default"/>
      </w:rPr>
    </w:lvl>
    <w:lvl w:ilvl="6">
      <w:start w:val="0"/>
      <w:numFmt w:val="bullet"/>
      <w:lvlText w:val="•"/>
      <w:lvlJc w:val="left"/>
      <w:pPr>
        <w:ind w:left="6052" w:hanging="248"/>
      </w:pPr>
      <w:rPr>
        <w:rFonts w:hint="default"/>
      </w:rPr>
    </w:lvl>
    <w:lvl w:ilvl="7">
      <w:start w:val="0"/>
      <w:numFmt w:val="bullet"/>
      <w:lvlText w:val="•"/>
      <w:lvlJc w:val="left"/>
      <w:pPr>
        <w:ind w:left="7044" w:hanging="248"/>
      </w:pPr>
      <w:rPr>
        <w:rFonts w:hint="default"/>
      </w:rPr>
    </w:lvl>
    <w:lvl w:ilvl="8">
      <w:start w:val="0"/>
      <w:numFmt w:val="bullet"/>
      <w:lvlText w:val="•"/>
      <w:lvlJc w:val="left"/>
      <w:pPr>
        <w:ind w:left="8036" w:hanging="248"/>
      </w:pPr>
      <w:rPr>
        <w:rFonts w:hint="default"/>
      </w:rPr>
    </w:lvl>
  </w:abstractNum>
  <w:abstractNum w:abstractNumId="15">
    <w:multiLevelType w:val="hybridMultilevel"/>
    <w:lvl w:ilvl="0">
      <w:start w:val="1"/>
      <w:numFmt w:val="lowerLetter"/>
      <w:lvlText w:val="%1)"/>
      <w:lvlJc w:val="left"/>
      <w:pPr>
        <w:ind w:left="108" w:hanging="255"/>
        <w:jc w:val="right"/>
      </w:pPr>
      <w:rPr>
        <w:rFonts w:hint="default"/>
        <w:b/>
        <w:bCs/>
        <w:spacing w:val="-1"/>
        <w:w w:val="94"/>
      </w:rPr>
    </w:lvl>
    <w:lvl w:ilvl="1">
      <w:start w:val="0"/>
      <w:numFmt w:val="bullet"/>
      <w:lvlText w:val="•"/>
      <w:lvlJc w:val="left"/>
      <w:pPr>
        <w:ind w:left="1092" w:hanging="255"/>
      </w:pPr>
      <w:rPr>
        <w:rFonts w:hint="default"/>
      </w:rPr>
    </w:lvl>
    <w:lvl w:ilvl="2">
      <w:start w:val="0"/>
      <w:numFmt w:val="bullet"/>
      <w:lvlText w:val="•"/>
      <w:lvlJc w:val="left"/>
      <w:pPr>
        <w:ind w:left="2084" w:hanging="255"/>
      </w:pPr>
      <w:rPr>
        <w:rFonts w:hint="default"/>
      </w:rPr>
    </w:lvl>
    <w:lvl w:ilvl="3">
      <w:start w:val="0"/>
      <w:numFmt w:val="bullet"/>
      <w:lvlText w:val="•"/>
      <w:lvlJc w:val="left"/>
      <w:pPr>
        <w:ind w:left="3076" w:hanging="255"/>
      </w:pPr>
      <w:rPr>
        <w:rFonts w:hint="default"/>
      </w:rPr>
    </w:lvl>
    <w:lvl w:ilvl="4">
      <w:start w:val="0"/>
      <w:numFmt w:val="bullet"/>
      <w:lvlText w:val="•"/>
      <w:lvlJc w:val="left"/>
      <w:pPr>
        <w:ind w:left="4068" w:hanging="255"/>
      </w:pPr>
      <w:rPr>
        <w:rFonts w:hint="default"/>
      </w:rPr>
    </w:lvl>
    <w:lvl w:ilvl="5">
      <w:start w:val="0"/>
      <w:numFmt w:val="bullet"/>
      <w:lvlText w:val="•"/>
      <w:lvlJc w:val="left"/>
      <w:pPr>
        <w:ind w:left="5060" w:hanging="255"/>
      </w:pPr>
      <w:rPr>
        <w:rFonts w:hint="default"/>
      </w:rPr>
    </w:lvl>
    <w:lvl w:ilvl="6">
      <w:start w:val="0"/>
      <w:numFmt w:val="bullet"/>
      <w:lvlText w:val="•"/>
      <w:lvlJc w:val="left"/>
      <w:pPr>
        <w:ind w:left="6052" w:hanging="255"/>
      </w:pPr>
      <w:rPr>
        <w:rFonts w:hint="default"/>
      </w:rPr>
    </w:lvl>
    <w:lvl w:ilvl="7">
      <w:start w:val="0"/>
      <w:numFmt w:val="bullet"/>
      <w:lvlText w:val="•"/>
      <w:lvlJc w:val="left"/>
      <w:pPr>
        <w:ind w:left="7044" w:hanging="255"/>
      </w:pPr>
      <w:rPr>
        <w:rFonts w:hint="default"/>
      </w:rPr>
    </w:lvl>
    <w:lvl w:ilvl="8">
      <w:start w:val="0"/>
      <w:numFmt w:val="bullet"/>
      <w:lvlText w:val="•"/>
      <w:lvlJc w:val="left"/>
      <w:pPr>
        <w:ind w:left="8036" w:hanging="255"/>
      </w:pPr>
      <w:rPr>
        <w:rFonts w:hint="default"/>
      </w:rPr>
    </w:lvl>
  </w:abstractNum>
  <w:abstractNum w:abstractNumId="14">
    <w:multiLevelType w:val="hybridMultilevel"/>
    <w:lvl w:ilvl="0">
      <w:start w:val="1"/>
      <w:numFmt w:val="lowerLetter"/>
      <w:lvlText w:val="%1)"/>
      <w:lvlJc w:val="left"/>
      <w:pPr>
        <w:ind w:left="536" w:hanging="222"/>
        <w:jc w:val="left"/>
      </w:pPr>
      <w:rPr>
        <w:rFonts w:hint="default" w:ascii="Calibri" w:hAnsi="Calibri" w:eastAsia="Calibri" w:cs="Calibri"/>
        <w:spacing w:val="-1"/>
        <w:w w:val="97"/>
        <w:sz w:val="20"/>
        <w:szCs w:val="20"/>
      </w:rPr>
    </w:lvl>
    <w:lvl w:ilvl="1">
      <w:start w:val="0"/>
      <w:numFmt w:val="bullet"/>
      <w:lvlText w:val="•"/>
      <w:lvlJc w:val="left"/>
      <w:pPr>
        <w:ind w:left="1488" w:hanging="222"/>
      </w:pPr>
      <w:rPr>
        <w:rFonts w:hint="default"/>
      </w:rPr>
    </w:lvl>
    <w:lvl w:ilvl="2">
      <w:start w:val="0"/>
      <w:numFmt w:val="bullet"/>
      <w:lvlText w:val="•"/>
      <w:lvlJc w:val="left"/>
      <w:pPr>
        <w:ind w:left="2436" w:hanging="222"/>
      </w:pPr>
      <w:rPr>
        <w:rFonts w:hint="default"/>
      </w:rPr>
    </w:lvl>
    <w:lvl w:ilvl="3">
      <w:start w:val="0"/>
      <w:numFmt w:val="bullet"/>
      <w:lvlText w:val="•"/>
      <w:lvlJc w:val="left"/>
      <w:pPr>
        <w:ind w:left="3384" w:hanging="222"/>
      </w:pPr>
      <w:rPr>
        <w:rFonts w:hint="default"/>
      </w:rPr>
    </w:lvl>
    <w:lvl w:ilvl="4">
      <w:start w:val="0"/>
      <w:numFmt w:val="bullet"/>
      <w:lvlText w:val="•"/>
      <w:lvlJc w:val="left"/>
      <w:pPr>
        <w:ind w:left="4332" w:hanging="222"/>
      </w:pPr>
      <w:rPr>
        <w:rFonts w:hint="default"/>
      </w:rPr>
    </w:lvl>
    <w:lvl w:ilvl="5">
      <w:start w:val="0"/>
      <w:numFmt w:val="bullet"/>
      <w:lvlText w:val="•"/>
      <w:lvlJc w:val="left"/>
      <w:pPr>
        <w:ind w:left="5280" w:hanging="222"/>
      </w:pPr>
      <w:rPr>
        <w:rFonts w:hint="default"/>
      </w:rPr>
    </w:lvl>
    <w:lvl w:ilvl="6">
      <w:start w:val="0"/>
      <w:numFmt w:val="bullet"/>
      <w:lvlText w:val="•"/>
      <w:lvlJc w:val="left"/>
      <w:pPr>
        <w:ind w:left="6228" w:hanging="222"/>
      </w:pPr>
      <w:rPr>
        <w:rFonts w:hint="default"/>
      </w:rPr>
    </w:lvl>
    <w:lvl w:ilvl="7">
      <w:start w:val="0"/>
      <w:numFmt w:val="bullet"/>
      <w:lvlText w:val="•"/>
      <w:lvlJc w:val="left"/>
      <w:pPr>
        <w:ind w:left="7176" w:hanging="222"/>
      </w:pPr>
      <w:rPr>
        <w:rFonts w:hint="default"/>
      </w:rPr>
    </w:lvl>
    <w:lvl w:ilvl="8">
      <w:start w:val="0"/>
      <w:numFmt w:val="bullet"/>
      <w:lvlText w:val="•"/>
      <w:lvlJc w:val="left"/>
      <w:pPr>
        <w:ind w:left="8124" w:hanging="222"/>
      </w:pPr>
      <w:rPr>
        <w:rFonts w:hint="default"/>
      </w:rPr>
    </w:lvl>
  </w:abstractNum>
  <w:abstractNum w:abstractNumId="13">
    <w:multiLevelType w:val="hybridMultilevel"/>
    <w:lvl w:ilvl="0">
      <w:start w:val="1"/>
      <w:numFmt w:val="decimal"/>
      <w:lvlText w:val="(%1)"/>
      <w:lvlJc w:val="left"/>
      <w:pPr>
        <w:ind w:left="108" w:hanging="292"/>
        <w:jc w:val="left"/>
      </w:pPr>
      <w:rPr>
        <w:rFonts w:hint="default"/>
        <w:spacing w:val="-1"/>
        <w:w w:val="97"/>
      </w:rPr>
    </w:lvl>
    <w:lvl w:ilvl="1">
      <w:start w:val="1"/>
      <w:numFmt w:val="decimal"/>
      <w:lvlText w:val="%2."/>
      <w:lvlJc w:val="left"/>
      <w:pPr>
        <w:ind w:left="108" w:hanging="168"/>
        <w:jc w:val="right"/>
      </w:pPr>
      <w:rPr>
        <w:rFonts w:hint="default" w:ascii="Calibri" w:hAnsi="Calibri" w:eastAsia="Calibri" w:cs="Calibri"/>
        <w:spacing w:val="-1"/>
        <w:w w:val="103"/>
        <w:sz w:val="18"/>
        <w:szCs w:val="18"/>
      </w:rPr>
    </w:lvl>
    <w:lvl w:ilvl="2">
      <w:start w:val="1"/>
      <w:numFmt w:val="decimal"/>
      <w:lvlText w:val="%3."/>
      <w:lvlJc w:val="left"/>
      <w:pPr>
        <w:ind w:left="694" w:hanging="219"/>
        <w:jc w:val="right"/>
      </w:pPr>
      <w:rPr>
        <w:rFonts w:hint="default" w:ascii="Calibri" w:hAnsi="Calibri" w:eastAsia="Calibri" w:cs="Calibri"/>
        <w:spacing w:val="-1"/>
        <w:w w:val="103"/>
        <w:sz w:val="20"/>
        <w:szCs w:val="20"/>
      </w:rPr>
    </w:lvl>
    <w:lvl w:ilvl="3">
      <w:start w:val="0"/>
      <w:numFmt w:val="bullet"/>
      <w:lvlText w:val="•"/>
      <w:lvlJc w:val="left"/>
      <w:pPr>
        <w:ind w:left="2771" w:hanging="219"/>
      </w:pPr>
      <w:rPr>
        <w:rFonts w:hint="default"/>
      </w:rPr>
    </w:lvl>
    <w:lvl w:ilvl="4">
      <w:start w:val="0"/>
      <w:numFmt w:val="bullet"/>
      <w:lvlText w:val="•"/>
      <w:lvlJc w:val="left"/>
      <w:pPr>
        <w:ind w:left="3806" w:hanging="219"/>
      </w:pPr>
      <w:rPr>
        <w:rFonts w:hint="default"/>
      </w:rPr>
    </w:lvl>
    <w:lvl w:ilvl="5">
      <w:start w:val="0"/>
      <w:numFmt w:val="bullet"/>
      <w:lvlText w:val="•"/>
      <w:lvlJc w:val="left"/>
      <w:pPr>
        <w:ind w:left="4842" w:hanging="219"/>
      </w:pPr>
      <w:rPr>
        <w:rFonts w:hint="default"/>
      </w:rPr>
    </w:lvl>
    <w:lvl w:ilvl="6">
      <w:start w:val="0"/>
      <w:numFmt w:val="bullet"/>
      <w:lvlText w:val="•"/>
      <w:lvlJc w:val="left"/>
      <w:pPr>
        <w:ind w:left="5877" w:hanging="219"/>
      </w:pPr>
      <w:rPr>
        <w:rFonts w:hint="default"/>
      </w:rPr>
    </w:lvl>
    <w:lvl w:ilvl="7">
      <w:start w:val="0"/>
      <w:numFmt w:val="bullet"/>
      <w:lvlText w:val="•"/>
      <w:lvlJc w:val="left"/>
      <w:pPr>
        <w:ind w:left="6913" w:hanging="219"/>
      </w:pPr>
      <w:rPr>
        <w:rFonts w:hint="default"/>
      </w:rPr>
    </w:lvl>
    <w:lvl w:ilvl="8">
      <w:start w:val="0"/>
      <w:numFmt w:val="bullet"/>
      <w:lvlText w:val="•"/>
      <w:lvlJc w:val="left"/>
      <w:pPr>
        <w:ind w:left="7948" w:hanging="219"/>
      </w:pPr>
      <w:rPr>
        <w:rFonts w:hint="default"/>
      </w:rPr>
    </w:lvl>
  </w:abstractNum>
  <w:abstractNum w:abstractNumId="12">
    <w:multiLevelType w:val="hybridMultilevel"/>
    <w:lvl w:ilvl="0">
      <w:start w:val="10"/>
      <w:numFmt w:val="lowerLetter"/>
      <w:lvlText w:val="%1)"/>
      <w:lvlJc w:val="left"/>
      <w:pPr>
        <w:ind w:left="108" w:hanging="203"/>
        <w:jc w:val="right"/>
      </w:pPr>
      <w:rPr>
        <w:rFonts w:hint="default" w:ascii="Calibri" w:hAnsi="Calibri" w:eastAsia="Calibri" w:cs="Calibri"/>
        <w:w w:val="97"/>
        <w:sz w:val="20"/>
        <w:szCs w:val="20"/>
      </w:rPr>
    </w:lvl>
    <w:lvl w:ilvl="1">
      <w:start w:val="0"/>
      <w:numFmt w:val="bullet"/>
      <w:lvlText w:val="•"/>
      <w:lvlJc w:val="left"/>
      <w:pPr>
        <w:ind w:left="1092" w:hanging="203"/>
      </w:pPr>
      <w:rPr>
        <w:rFonts w:hint="default"/>
      </w:rPr>
    </w:lvl>
    <w:lvl w:ilvl="2">
      <w:start w:val="0"/>
      <w:numFmt w:val="bullet"/>
      <w:lvlText w:val="•"/>
      <w:lvlJc w:val="left"/>
      <w:pPr>
        <w:ind w:left="2084" w:hanging="203"/>
      </w:pPr>
      <w:rPr>
        <w:rFonts w:hint="default"/>
      </w:rPr>
    </w:lvl>
    <w:lvl w:ilvl="3">
      <w:start w:val="0"/>
      <w:numFmt w:val="bullet"/>
      <w:lvlText w:val="•"/>
      <w:lvlJc w:val="left"/>
      <w:pPr>
        <w:ind w:left="3076" w:hanging="203"/>
      </w:pPr>
      <w:rPr>
        <w:rFonts w:hint="default"/>
      </w:rPr>
    </w:lvl>
    <w:lvl w:ilvl="4">
      <w:start w:val="0"/>
      <w:numFmt w:val="bullet"/>
      <w:lvlText w:val="•"/>
      <w:lvlJc w:val="left"/>
      <w:pPr>
        <w:ind w:left="4068" w:hanging="203"/>
      </w:pPr>
      <w:rPr>
        <w:rFonts w:hint="default"/>
      </w:rPr>
    </w:lvl>
    <w:lvl w:ilvl="5">
      <w:start w:val="0"/>
      <w:numFmt w:val="bullet"/>
      <w:lvlText w:val="•"/>
      <w:lvlJc w:val="left"/>
      <w:pPr>
        <w:ind w:left="5060" w:hanging="203"/>
      </w:pPr>
      <w:rPr>
        <w:rFonts w:hint="default"/>
      </w:rPr>
    </w:lvl>
    <w:lvl w:ilvl="6">
      <w:start w:val="0"/>
      <w:numFmt w:val="bullet"/>
      <w:lvlText w:val="•"/>
      <w:lvlJc w:val="left"/>
      <w:pPr>
        <w:ind w:left="6052" w:hanging="203"/>
      </w:pPr>
      <w:rPr>
        <w:rFonts w:hint="default"/>
      </w:rPr>
    </w:lvl>
    <w:lvl w:ilvl="7">
      <w:start w:val="0"/>
      <w:numFmt w:val="bullet"/>
      <w:lvlText w:val="•"/>
      <w:lvlJc w:val="left"/>
      <w:pPr>
        <w:ind w:left="7044" w:hanging="203"/>
      </w:pPr>
      <w:rPr>
        <w:rFonts w:hint="default"/>
      </w:rPr>
    </w:lvl>
    <w:lvl w:ilvl="8">
      <w:start w:val="0"/>
      <w:numFmt w:val="bullet"/>
      <w:lvlText w:val="•"/>
      <w:lvlJc w:val="left"/>
      <w:pPr>
        <w:ind w:left="8036" w:hanging="203"/>
      </w:pPr>
      <w:rPr>
        <w:rFonts w:hint="default"/>
      </w:rPr>
    </w:lvl>
  </w:abstractNum>
  <w:abstractNum w:abstractNumId="11">
    <w:multiLevelType w:val="hybridMultilevel"/>
    <w:lvl w:ilvl="0">
      <w:start w:val="1"/>
      <w:numFmt w:val="lowerLetter"/>
      <w:lvlText w:val="%1)"/>
      <w:lvlJc w:val="left"/>
      <w:pPr>
        <w:ind w:left="108" w:hanging="232"/>
        <w:jc w:val="right"/>
      </w:pPr>
      <w:rPr>
        <w:rFonts w:hint="default" w:ascii="Calibri" w:hAnsi="Calibri" w:eastAsia="Calibri" w:cs="Calibri"/>
        <w:spacing w:val="-1"/>
        <w:w w:val="97"/>
        <w:sz w:val="20"/>
        <w:szCs w:val="20"/>
      </w:rPr>
    </w:lvl>
    <w:lvl w:ilvl="1">
      <w:start w:val="1"/>
      <w:numFmt w:val="lowerRoman"/>
      <w:lvlText w:val="%2)"/>
      <w:lvlJc w:val="left"/>
      <w:pPr>
        <w:ind w:left="108" w:hanging="246"/>
        <w:jc w:val="left"/>
      </w:pPr>
      <w:rPr>
        <w:rFonts w:hint="default" w:ascii="Calibri" w:hAnsi="Calibri" w:eastAsia="Calibri" w:cs="Calibri"/>
        <w:w w:val="97"/>
        <w:sz w:val="20"/>
        <w:szCs w:val="20"/>
      </w:rPr>
    </w:lvl>
    <w:lvl w:ilvl="2">
      <w:start w:val="0"/>
      <w:numFmt w:val="bullet"/>
      <w:lvlText w:val="•"/>
      <w:lvlJc w:val="left"/>
      <w:pPr>
        <w:ind w:left="2084" w:hanging="246"/>
      </w:pPr>
      <w:rPr>
        <w:rFonts w:hint="default"/>
      </w:rPr>
    </w:lvl>
    <w:lvl w:ilvl="3">
      <w:start w:val="0"/>
      <w:numFmt w:val="bullet"/>
      <w:lvlText w:val="•"/>
      <w:lvlJc w:val="left"/>
      <w:pPr>
        <w:ind w:left="3076" w:hanging="246"/>
      </w:pPr>
      <w:rPr>
        <w:rFonts w:hint="default"/>
      </w:rPr>
    </w:lvl>
    <w:lvl w:ilvl="4">
      <w:start w:val="0"/>
      <w:numFmt w:val="bullet"/>
      <w:lvlText w:val="•"/>
      <w:lvlJc w:val="left"/>
      <w:pPr>
        <w:ind w:left="4068" w:hanging="246"/>
      </w:pPr>
      <w:rPr>
        <w:rFonts w:hint="default"/>
      </w:rPr>
    </w:lvl>
    <w:lvl w:ilvl="5">
      <w:start w:val="0"/>
      <w:numFmt w:val="bullet"/>
      <w:lvlText w:val="•"/>
      <w:lvlJc w:val="left"/>
      <w:pPr>
        <w:ind w:left="5060" w:hanging="246"/>
      </w:pPr>
      <w:rPr>
        <w:rFonts w:hint="default"/>
      </w:rPr>
    </w:lvl>
    <w:lvl w:ilvl="6">
      <w:start w:val="0"/>
      <w:numFmt w:val="bullet"/>
      <w:lvlText w:val="•"/>
      <w:lvlJc w:val="left"/>
      <w:pPr>
        <w:ind w:left="6052" w:hanging="246"/>
      </w:pPr>
      <w:rPr>
        <w:rFonts w:hint="default"/>
      </w:rPr>
    </w:lvl>
    <w:lvl w:ilvl="7">
      <w:start w:val="0"/>
      <w:numFmt w:val="bullet"/>
      <w:lvlText w:val="•"/>
      <w:lvlJc w:val="left"/>
      <w:pPr>
        <w:ind w:left="7044" w:hanging="246"/>
      </w:pPr>
      <w:rPr>
        <w:rFonts w:hint="default"/>
      </w:rPr>
    </w:lvl>
    <w:lvl w:ilvl="8">
      <w:start w:val="0"/>
      <w:numFmt w:val="bullet"/>
      <w:lvlText w:val="•"/>
      <w:lvlJc w:val="left"/>
      <w:pPr>
        <w:ind w:left="8036" w:hanging="246"/>
      </w:pPr>
      <w:rPr>
        <w:rFonts w:hint="default"/>
      </w:rPr>
    </w:lvl>
  </w:abstractNum>
  <w:abstractNum w:abstractNumId="10">
    <w:multiLevelType w:val="hybridMultilevel"/>
    <w:lvl w:ilvl="0">
      <w:start w:val="1"/>
      <w:numFmt w:val="lowerLetter"/>
      <w:lvlText w:val="%1)"/>
      <w:lvlJc w:val="left"/>
      <w:pPr>
        <w:ind w:left="108" w:hanging="245"/>
        <w:jc w:val="right"/>
      </w:pPr>
      <w:rPr>
        <w:rFonts w:hint="default" w:ascii="Arial" w:hAnsi="Arial" w:eastAsia="Arial" w:cs="Arial"/>
        <w:b/>
        <w:bCs/>
        <w:spacing w:val="-1"/>
        <w:w w:val="94"/>
        <w:sz w:val="20"/>
        <w:szCs w:val="20"/>
      </w:rPr>
    </w:lvl>
    <w:lvl w:ilvl="1">
      <w:start w:val="0"/>
      <w:numFmt w:val="bullet"/>
      <w:lvlText w:val="•"/>
      <w:lvlJc w:val="left"/>
      <w:pPr>
        <w:ind w:left="1092" w:hanging="245"/>
      </w:pPr>
      <w:rPr>
        <w:rFonts w:hint="default"/>
      </w:rPr>
    </w:lvl>
    <w:lvl w:ilvl="2">
      <w:start w:val="0"/>
      <w:numFmt w:val="bullet"/>
      <w:lvlText w:val="•"/>
      <w:lvlJc w:val="left"/>
      <w:pPr>
        <w:ind w:left="2084" w:hanging="245"/>
      </w:pPr>
      <w:rPr>
        <w:rFonts w:hint="default"/>
      </w:rPr>
    </w:lvl>
    <w:lvl w:ilvl="3">
      <w:start w:val="0"/>
      <w:numFmt w:val="bullet"/>
      <w:lvlText w:val="•"/>
      <w:lvlJc w:val="left"/>
      <w:pPr>
        <w:ind w:left="3076" w:hanging="245"/>
      </w:pPr>
      <w:rPr>
        <w:rFonts w:hint="default"/>
      </w:rPr>
    </w:lvl>
    <w:lvl w:ilvl="4">
      <w:start w:val="0"/>
      <w:numFmt w:val="bullet"/>
      <w:lvlText w:val="•"/>
      <w:lvlJc w:val="left"/>
      <w:pPr>
        <w:ind w:left="4068" w:hanging="245"/>
      </w:pPr>
      <w:rPr>
        <w:rFonts w:hint="default"/>
      </w:rPr>
    </w:lvl>
    <w:lvl w:ilvl="5">
      <w:start w:val="0"/>
      <w:numFmt w:val="bullet"/>
      <w:lvlText w:val="•"/>
      <w:lvlJc w:val="left"/>
      <w:pPr>
        <w:ind w:left="5060" w:hanging="245"/>
      </w:pPr>
      <w:rPr>
        <w:rFonts w:hint="default"/>
      </w:rPr>
    </w:lvl>
    <w:lvl w:ilvl="6">
      <w:start w:val="0"/>
      <w:numFmt w:val="bullet"/>
      <w:lvlText w:val="•"/>
      <w:lvlJc w:val="left"/>
      <w:pPr>
        <w:ind w:left="6052" w:hanging="245"/>
      </w:pPr>
      <w:rPr>
        <w:rFonts w:hint="default"/>
      </w:rPr>
    </w:lvl>
    <w:lvl w:ilvl="7">
      <w:start w:val="0"/>
      <w:numFmt w:val="bullet"/>
      <w:lvlText w:val="•"/>
      <w:lvlJc w:val="left"/>
      <w:pPr>
        <w:ind w:left="7044" w:hanging="245"/>
      </w:pPr>
      <w:rPr>
        <w:rFonts w:hint="default"/>
      </w:rPr>
    </w:lvl>
    <w:lvl w:ilvl="8">
      <w:start w:val="0"/>
      <w:numFmt w:val="bullet"/>
      <w:lvlText w:val="•"/>
      <w:lvlJc w:val="left"/>
      <w:pPr>
        <w:ind w:left="8036" w:hanging="245"/>
      </w:pPr>
      <w:rPr>
        <w:rFonts w:hint="default"/>
      </w:rPr>
    </w:lvl>
  </w:abstractNum>
  <w:abstractNum w:abstractNumId="9">
    <w:multiLevelType w:val="hybridMultilevel"/>
    <w:lvl w:ilvl="0">
      <w:start w:val="23"/>
      <w:numFmt w:val="lowerLetter"/>
      <w:lvlText w:val="%1)"/>
      <w:lvlJc w:val="left"/>
      <w:pPr>
        <w:ind w:left="322" w:hanging="215"/>
        <w:jc w:val="left"/>
      </w:pPr>
      <w:rPr>
        <w:rFonts w:hint="default"/>
        <w:spacing w:val="-1"/>
        <w:w w:val="97"/>
      </w:rPr>
    </w:lvl>
    <w:lvl w:ilvl="1">
      <w:start w:val="0"/>
      <w:numFmt w:val="bullet"/>
      <w:lvlText w:val="•"/>
      <w:lvlJc w:val="left"/>
      <w:pPr>
        <w:ind w:left="1290" w:hanging="215"/>
      </w:pPr>
      <w:rPr>
        <w:rFonts w:hint="default"/>
      </w:rPr>
    </w:lvl>
    <w:lvl w:ilvl="2">
      <w:start w:val="0"/>
      <w:numFmt w:val="bullet"/>
      <w:lvlText w:val="•"/>
      <w:lvlJc w:val="left"/>
      <w:pPr>
        <w:ind w:left="2260" w:hanging="215"/>
      </w:pPr>
      <w:rPr>
        <w:rFonts w:hint="default"/>
      </w:rPr>
    </w:lvl>
    <w:lvl w:ilvl="3">
      <w:start w:val="0"/>
      <w:numFmt w:val="bullet"/>
      <w:lvlText w:val="•"/>
      <w:lvlJc w:val="left"/>
      <w:pPr>
        <w:ind w:left="3230" w:hanging="215"/>
      </w:pPr>
      <w:rPr>
        <w:rFonts w:hint="default"/>
      </w:rPr>
    </w:lvl>
    <w:lvl w:ilvl="4">
      <w:start w:val="0"/>
      <w:numFmt w:val="bullet"/>
      <w:lvlText w:val="•"/>
      <w:lvlJc w:val="left"/>
      <w:pPr>
        <w:ind w:left="4200" w:hanging="215"/>
      </w:pPr>
      <w:rPr>
        <w:rFonts w:hint="default"/>
      </w:rPr>
    </w:lvl>
    <w:lvl w:ilvl="5">
      <w:start w:val="0"/>
      <w:numFmt w:val="bullet"/>
      <w:lvlText w:val="•"/>
      <w:lvlJc w:val="left"/>
      <w:pPr>
        <w:ind w:left="5170" w:hanging="215"/>
      </w:pPr>
      <w:rPr>
        <w:rFonts w:hint="default"/>
      </w:rPr>
    </w:lvl>
    <w:lvl w:ilvl="6">
      <w:start w:val="0"/>
      <w:numFmt w:val="bullet"/>
      <w:lvlText w:val="•"/>
      <w:lvlJc w:val="left"/>
      <w:pPr>
        <w:ind w:left="6140" w:hanging="215"/>
      </w:pPr>
      <w:rPr>
        <w:rFonts w:hint="default"/>
      </w:rPr>
    </w:lvl>
    <w:lvl w:ilvl="7">
      <w:start w:val="0"/>
      <w:numFmt w:val="bullet"/>
      <w:lvlText w:val="•"/>
      <w:lvlJc w:val="left"/>
      <w:pPr>
        <w:ind w:left="7110" w:hanging="215"/>
      </w:pPr>
      <w:rPr>
        <w:rFonts w:hint="default"/>
      </w:rPr>
    </w:lvl>
    <w:lvl w:ilvl="8">
      <w:start w:val="0"/>
      <w:numFmt w:val="bullet"/>
      <w:lvlText w:val="•"/>
      <w:lvlJc w:val="left"/>
      <w:pPr>
        <w:ind w:left="8080" w:hanging="215"/>
      </w:pPr>
      <w:rPr>
        <w:rFonts w:hint="default"/>
      </w:rPr>
    </w:lvl>
  </w:abstractNum>
  <w:abstractNum w:abstractNumId="8">
    <w:multiLevelType w:val="hybridMultilevel"/>
    <w:lvl w:ilvl="0">
      <w:start w:val="1"/>
      <w:numFmt w:val="lowerLetter"/>
      <w:lvlText w:val="%1)"/>
      <w:lvlJc w:val="left"/>
      <w:pPr>
        <w:ind w:left="108" w:hanging="243"/>
        <w:jc w:val="left"/>
      </w:pPr>
      <w:rPr>
        <w:rFonts w:hint="default"/>
        <w:b/>
        <w:bCs/>
        <w:spacing w:val="-1"/>
        <w:w w:val="94"/>
      </w:rPr>
    </w:lvl>
    <w:lvl w:ilvl="1">
      <w:start w:val="0"/>
      <w:numFmt w:val="bullet"/>
      <w:lvlText w:val="•"/>
      <w:lvlJc w:val="left"/>
      <w:pPr>
        <w:ind w:left="1092" w:hanging="243"/>
      </w:pPr>
      <w:rPr>
        <w:rFonts w:hint="default"/>
      </w:rPr>
    </w:lvl>
    <w:lvl w:ilvl="2">
      <w:start w:val="0"/>
      <w:numFmt w:val="bullet"/>
      <w:lvlText w:val="•"/>
      <w:lvlJc w:val="left"/>
      <w:pPr>
        <w:ind w:left="2084" w:hanging="243"/>
      </w:pPr>
      <w:rPr>
        <w:rFonts w:hint="default"/>
      </w:rPr>
    </w:lvl>
    <w:lvl w:ilvl="3">
      <w:start w:val="0"/>
      <w:numFmt w:val="bullet"/>
      <w:lvlText w:val="•"/>
      <w:lvlJc w:val="left"/>
      <w:pPr>
        <w:ind w:left="3076" w:hanging="243"/>
      </w:pPr>
      <w:rPr>
        <w:rFonts w:hint="default"/>
      </w:rPr>
    </w:lvl>
    <w:lvl w:ilvl="4">
      <w:start w:val="0"/>
      <w:numFmt w:val="bullet"/>
      <w:lvlText w:val="•"/>
      <w:lvlJc w:val="left"/>
      <w:pPr>
        <w:ind w:left="4068" w:hanging="243"/>
      </w:pPr>
      <w:rPr>
        <w:rFonts w:hint="default"/>
      </w:rPr>
    </w:lvl>
    <w:lvl w:ilvl="5">
      <w:start w:val="0"/>
      <w:numFmt w:val="bullet"/>
      <w:lvlText w:val="•"/>
      <w:lvlJc w:val="left"/>
      <w:pPr>
        <w:ind w:left="5060" w:hanging="243"/>
      </w:pPr>
      <w:rPr>
        <w:rFonts w:hint="default"/>
      </w:rPr>
    </w:lvl>
    <w:lvl w:ilvl="6">
      <w:start w:val="0"/>
      <w:numFmt w:val="bullet"/>
      <w:lvlText w:val="•"/>
      <w:lvlJc w:val="left"/>
      <w:pPr>
        <w:ind w:left="6052" w:hanging="243"/>
      </w:pPr>
      <w:rPr>
        <w:rFonts w:hint="default"/>
      </w:rPr>
    </w:lvl>
    <w:lvl w:ilvl="7">
      <w:start w:val="0"/>
      <w:numFmt w:val="bullet"/>
      <w:lvlText w:val="•"/>
      <w:lvlJc w:val="left"/>
      <w:pPr>
        <w:ind w:left="7044" w:hanging="243"/>
      </w:pPr>
      <w:rPr>
        <w:rFonts w:hint="default"/>
      </w:rPr>
    </w:lvl>
    <w:lvl w:ilvl="8">
      <w:start w:val="0"/>
      <w:numFmt w:val="bullet"/>
      <w:lvlText w:val="•"/>
      <w:lvlJc w:val="left"/>
      <w:pPr>
        <w:ind w:left="8036" w:hanging="243"/>
      </w:pPr>
      <w:rPr>
        <w:rFonts w:hint="default"/>
      </w:rPr>
    </w:lvl>
  </w:abstractNum>
  <w:abstractNum w:abstractNumId="7">
    <w:multiLevelType w:val="hybridMultilevel"/>
    <w:lvl w:ilvl="0">
      <w:start w:val="1"/>
      <w:numFmt w:val="decimal"/>
      <w:lvlText w:val="%1."/>
      <w:lvlJc w:val="left"/>
      <w:pPr>
        <w:ind w:left="559" w:hanging="192"/>
        <w:jc w:val="right"/>
      </w:pPr>
      <w:rPr>
        <w:rFonts w:hint="default"/>
        <w:b/>
        <w:bCs/>
        <w:spacing w:val="-1"/>
        <w:w w:val="98"/>
      </w:rPr>
    </w:lvl>
    <w:lvl w:ilvl="1">
      <w:start w:val="0"/>
      <w:numFmt w:val="bullet"/>
      <w:lvlText w:val="•"/>
      <w:lvlJc w:val="left"/>
      <w:pPr>
        <w:ind w:left="1506" w:hanging="192"/>
      </w:pPr>
      <w:rPr>
        <w:rFonts w:hint="default"/>
      </w:rPr>
    </w:lvl>
    <w:lvl w:ilvl="2">
      <w:start w:val="0"/>
      <w:numFmt w:val="bullet"/>
      <w:lvlText w:val="•"/>
      <w:lvlJc w:val="left"/>
      <w:pPr>
        <w:ind w:left="2452" w:hanging="192"/>
      </w:pPr>
      <w:rPr>
        <w:rFonts w:hint="default"/>
      </w:rPr>
    </w:lvl>
    <w:lvl w:ilvl="3">
      <w:start w:val="0"/>
      <w:numFmt w:val="bullet"/>
      <w:lvlText w:val="•"/>
      <w:lvlJc w:val="left"/>
      <w:pPr>
        <w:ind w:left="3398" w:hanging="192"/>
      </w:pPr>
      <w:rPr>
        <w:rFonts w:hint="default"/>
      </w:rPr>
    </w:lvl>
    <w:lvl w:ilvl="4">
      <w:start w:val="0"/>
      <w:numFmt w:val="bullet"/>
      <w:lvlText w:val="•"/>
      <w:lvlJc w:val="left"/>
      <w:pPr>
        <w:ind w:left="4344" w:hanging="192"/>
      </w:pPr>
      <w:rPr>
        <w:rFonts w:hint="default"/>
      </w:rPr>
    </w:lvl>
    <w:lvl w:ilvl="5">
      <w:start w:val="0"/>
      <w:numFmt w:val="bullet"/>
      <w:lvlText w:val="•"/>
      <w:lvlJc w:val="left"/>
      <w:pPr>
        <w:ind w:left="5290" w:hanging="192"/>
      </w:pPr>
      <w:rPr>
        <w:rFonts w:hint="default"/>
      </w:rPr>
    </w:lvl>
    <w:lvl w:ilvl="6">
      <w:start w:val="0"/>
      <w:numFmt w:val="bullet"/>
      <w:lvlText w:val="•"/>
      <w:lvlJc w:val="left"/>
      <w:pPr>
        <w:ind w:left="6236" w:hanging="192"/>
      </w:pPr>
      <w:rPr>
        <w:rFonts w:hint="default"/>
      </w:rPr>
    </w:lvl>
    <w:lvl w:ilvl="7">
      <w:start w:val="0"/>
      <w:numFmt w:val="bullet"/>
      <w:lvlText w:val="•"/>
      <w:lvlJc w:val="left"/>
      <w:pPr>
        <w:ind w:left="7182" w:hanging="192"/>
      </w:pPr>
      <w:rPr>
        <w:rFonts w:hint="default"/>
      </w:rPr>
    </w:lvl>
    <w:lvl w:ilvl="8">
      <w:start w:val="0"/>
      <w:numFmt w:val="bullet"/>
      <w:lvlText w:val="•"/>
      <w:lvlJc w:val="left"/>
      <w:pPr>
        <w:ind w:left="8128" w:hanging="192"/>
      </w:pPr>
      <w:rPr>
        <w:rFonts w:hint="default"/>
      </w:rPr>
    </w:lvl>
  </w:abstractNum>
  <w:abstractNum w:abstractNumId="6">
    <w:multiLevelType w:val="hybridMultilevel"/>
    <w:lvl w:ilvl="0">
      <w:start w:val="1"/>
      <w:numFmt w:val="lowerLetter"/>
      <w:lvlText w:val="%1)"/>
      <w:lvlJc w:val="left"/>
      <w:pPr>
        <w:ind w:left="108" w:hanging="232"/>
        <w:jc w:val="left"/>
      </w:pPr>
      <w:rPr>
        <w:rFonts w:hint="default" w:ascii="Calibri" w:hAnsi="Calibri" w:eastAsia="Calibri" w:cs="Calibri"/>
        <w:spacing w:val="-1"/>
        <w:w w:val="97"/>
        <w:sz w:val="20"/>
        <w:szCs w:val="20"/>
      </w:rPr>
    </w:lvl>
    <w:lvl w:ilvl="1">
      <w:start w:val="0"/>
      <w:numFmt w:val="bullet"/>
      <w:lvlText w:val="•"/>
      <w:lvlJc w:val="left"/>
      <w:pPr>
        <w:ind w:left="1092" w:hanging="232"/>
      </w:pPr>
      <w:rPr>
        <w:rFonts w:hint="default"/>
      </w:rPr>
    </w:lvl>
    <w:lvl w:ilvl="2">
      <w:start w:val="0"/>
      <w:numFmt w:val="bullet"/>
      <w:lvlText w:val="•"/>
      <w:lvlJc w:val="left"/>
      <w:pPr>
        <w:ind w:left="2084" w:hanging="232"/>
      </w:pPr>
      <w:rPr>
        <w:rFonts w:hint="default"/>
      </w:rPr>
    </w:lvl>
    <w:lvl w:ilvl="3">
      <w:start w:val="0"/>
      <w:numFmt w:val="bullet"/>
      <w:lvlText w:val="•"/>
      <w:lvlJc w:val="left"/>
      <w:pPr>
        <w:ind w:left="3076" w:hanging="232"/>
      </w:pPr>
      <w:rPr>
        <w:rFonts w:hint="default"/>
      </w:rPr>
    </w:lvl>
    <w:lvl w:ilvl="4">
      <w:start w:val="0"/>
      <w:numFmt w:val="bullet"/>
      <w:lvlText w:val="•"/>
      <w:lvlJc w:val="left"/>
      <w:pPr>
        <w:ind w:left="4068" w:hanging="232"/>
      </w:pPr>
      <w:rPr>
        <w:rFonts w:hint="default"/>
      </w:rPr>
    </w:lvl>
    <w:lvl w:ilvl="5">
      <w:start w:val="0"/>
      <w:numFmt w:val="bullet"/>
      <w:lvlText w:val="•"/>
      <w:lvlJc w:val="left"/>
      <w:pPr>
        <w:ind w:left="5060" w:hanging="232"/>
      </w:pPr>
      <w:rPr>
        <w:rFonts w:hint="default"/>
      </w:rPr>
    </w:lvl>
    <w:lvl w:ilvl="6">
      <w:start w:val="0"/>
      <w:numFmt w:val="bullet"/>
      <w:lvlText w:val="•"/>
      <w:lvlJc w:val="left"/>
      <w:pPr>
        <w:ind w:left="6052" w:hanging="232"/>
      </w:pPr>
      <w:rPr>
        <w:rFonts w:hint="default"/>
      </w:rPr>
    </w:lvl>
    <w:lvl w:ilvl="7">
      <w:start w:val="0"/>
      <w:numFmt w:val="bullet"/>
      <w:lvlText w:val="•"/>
      <w:lvlJc w:val="left"/>
      <w:pPr>
        <w:ind w:left="7044" w:hanging="232"/>
      </w:pPr>
      <w:rPr>
        <w:rFonts w:hint="default"/>
      </w:rPr>
    </w:lvl>
    <w:lvl w:ilvl="8">
      <w:start w:val="0"/>
      <w:numFmt w:val="bullet"/>
      <w:lvlText w:val="•"/>
      <w:lvlJc w:val="left"/>
      <w:pPr>
        <w:ind w:left="8036" w:hanging="232"/>
      </w:pPr>
      <w:rPr>
        <w:rFonts w:hint="default"/>
      </w:rPr>
    </w:lvl>
  </w:abstractNum>
  <w:abstractNum w:abstractNumId="5">
    <w:multiLevelType w:val="hybridMultilevel"/>
    <w:lvl w:ilvl="0">
      <w:start w:val="1"/>
      <w:numFmt w:val="lowerLetter"/>
      <w:lvlText w:val="%1)"/>
      <w:lvlJc w:val="left"/>
      <w:pPr>
        <w:ind w:left="329" w:hanging="222"/>
        <w:jc w:val="left"/>
      </w:pPr>
      <w:rPr>
        <w:rFonts w:hint="default"/>
        <w:spacing w:val="-1"/>
        <w:w w:val="97"/>
      </w:rPr>
    </w:lvl>
    <w:lvl w:ilvl="1">
      <w:start w:val="0"/>
      <w:numFmt w:val="bullet"/>
      <w:lvlText w:val="•"/>
      <w:lvlJc w:val="left"/>
      <w:pPr>
        <w:ind w:left="1290" w:hanging="222"/>
      </w:pPr>
      <w:rPr>
        <w:rFonts w:hint="default"/>
      </w:rPr>
    </w:lvl>
    <w:lvl w:ilvl="2">
      <w:start w:val="0"/>
      <w:numFmt w:val="bullet"/>
      <w:lvlText w:val="•"/>
      <w:lvlJc w:val="left"/>
      <w:pPr>
        <w:ind w:left="2260" w:hanging="222"/>
      </w:pPr>
      <w:rPr>
        <w:rFonts w:hint="default"/>
      </w:rPr>
    </w:lvl>
    <w:lvl w:ilvl="3">
      <w:start w:val="0"/>
      <w:numFmt w:val="bullet"/>
      <w:lvlText w:val="•"/>
      <w:lvlJc w:val="left"/>
      <w:pPr>
        <w:ind w:left="3230" w:hanging="222"/>
      </w:pPr>
      <w:rPr>
        <w:rFonts w:hint="default"/>
      </w:rPr>
    </w:lvl>
    <w:lvl w:ilvl="4">
      <w:start w:val="0"/>
      <w:numFmt w:val="bullet"/>
      <w:lvlText w:val="•"/>
      <w:lvlJc w:val="left"/>
      <w:pPr>
        <w:ind w:left="4200" w:hanging="222"/>
      </w:pPr>
      <w:rPr>
        <w:rFonts w:hint="default"/>
      </w:rPr>
    </w:lvl>
    <w:lvl w:ilvl="5">
      <w:start w:val="0"/>
      <w:numFmt w:val="bullet"/>
      <w:lvlText w:val="•"/>
      <w:lvlJc w:val="left"/>
      <w:pPr>
        <w:ind w:left="5170" w:hanging="222"/>
      </w:pPr>
      <w:rPr>
        <w:rFonts w:hint="default"/>
      </w:rPr>
    </w:lvl>
    <w:lvl w:ilvl="6">
      <w:start w:val="0"/>
      <w:numFmt w:val="bullet"/>
      <w:lvlText w:val="•"/>
      <w:lvlJc w:val="left"/>
      <w:pPr>
        <w:ind w:left="6140" w:hanging="222"/>
      </w:pPr>
      <w:rPr>
        <w:rFonts w:hint="default"/>
      </w:rPr>
    </w:lvl>
    <w:lvl w:ilvl="7">
      <w:start w:val="0"/>
      <w:numFmt w:val="bullet"/>
      <w:lvlText w:val="•"/>
      <w:lvlJc w:val="left"/>
      <w:pPr>
        <w:ind w:left="7110" w:hanging="222"/>
      </w:pPr>
      <w:rPr>
        <w:rFonts w:hint="default"/>
      </w:rPr>
    </w:lvl>
    <w:lvl w:ilvl="8">
      <w:start w:val="0"/>
      <w:numFmt w:val="bullet"/>
      <w:lvlText w:val="•"/>
      <w:lvlJc w:val="left"/>
      <w:pPr>
        <w:ind w:left="8080" w:hanging="222"/>
      </w:pPr>
      <w:rPr>
        <w:rFonts w:hint="default"/>
      </w:rPr>
    </w:lvl>
  </w:abstractNum>
  <w:abstractNum w:abstractNumId="4">
    <w:multiLevelType w:val="hybridMultilevel"/>
    <w:lvl w:ilvl="0">
      <w:start w:val="1"/>
      <w:numFmt w:val="lowerLetter"/>
      <w:lvlText w:val="%1)"/>
      <w:lvlJc w:val="left"/>
      <w:pPr>
        <w:ind w:left="108" w:hanging="272"/>
        <w:jc w:val="left"/>
      </w:pPr>
      <w:rPr>
        <w:rFonts w:hint="default"/>
        <w:spacing w:val="-1"/>
        <w:w w:val="97"/>
      </w:rPr>
    </w:lvl>
    <w:lvl w:ilvl="1">
      <w:start w:val="0"/>
      <w:numFmt w:val="bullet"/>
      <w:lvlText w:val="•"/>
      <w:lvlJc w:val="left"/>
      <w:pPr>
        <w:ind w:left="1092" w:hanging="272"/>
      </w:pPr>
      <w:rPr>
        <w:rFonts w:hint="default"/>
      </w:rPr>
    </w:lvl>
    <w:lvl w:ilvl="2">
      <w:start w:val="0"/>
      <w:numFmt w:val="bullet"/>
      <w:lvlText w:val="•"/>
      <w:lvlJc w:val="left"/>
      <w:pPr>
        <w:ind w:left="2084" w:hanging="272"/>
      </w:pPr>
      <w:rPr>
        <w:rFonts w:hint="default"/>
      </w:rPr>
    </w:lvl>
    <w:lvl w:ilvl="3">
      <w:start w:val="0"/>
      <w:numFmt w:val="bullet"/>
      <w:lvlText w:val="•"/>
      <w:lvlJc w:val="left"/>
      <w:pPr>
        <w:ind w:left="3076" w:hanging="272"/>
      </w:pPr>
      <w:rPr>
        <w:rFonts w:hint="default"/>
      </w:rPr>
    </w:lvl>
    <w:lvl w:ilvl="4">
      <w:start w:val="0"/>
      <w:numFmt w:val="bullet"/>
      <w:lvlText w:val="•"/>
      <w:lvlJc w:val="left"/>
      <w:pPr>
        <w:ind w:left="4068" w:hanging="272"/>
      </w:pPr>
      <w:rPr>
        <w:rFonts w:hint="default"/>
      </w:rPr>
    </w:lvl>
    <w:lvl w:ilvl="5">
      <w:start w:val="0"/>
      <w:numFmt w:val="bullet"/>
      <w:lvlText w:val="•"/>
      <w:lvlJc w:val="left"/>
      <w:pPr>
        <w:ind w:left="5060" w:hanging="272"/>
      </w:pPr>
      <w:rPr>
        <w:rFonts w:hint="default"/>
      </w:rPr>
    </w:lvl>
    <w:lvl w:ilvl="6">
      <w:start w:val="0"/>
      <w:numFmt w:val="bullet"/>
      <w:lvlText w:val="•"/>
      <w:lvlJc w:val="left"/>
      <w:pPr>
        <w:ind w:left="6052" w:hanging="272"/>
      </w:pPr>
      <w:rPr>
        <w:rFonts w:hint="default"/>
      </w:rPr>
    </w:lvl>
    <w:lvl w:ilvl="7">
      <w:start w:val="0"/>
      <w:numFmt w:val="bullet"/>
      <w:lvlText w:val="•"/>
      <w:lvlJc w:val="left"/>
      <w:pPr>
        <w:ind w:left="7044" w:hanging="272"/>
      </w:pPr>
      <w:rPr>
        <w:rFonts w:hint="default"/>
      </w:rPr>
    </w:lvl>
    <w:lvl w:ilvl="8">
      <w:start w:val="0"/>
      <w:numFmt w:val="bullet"/>
      <w:lvlText w:val="•"/>
      <w:lvlJc w:val="left"/>
      <w:pPr>
        <w:ind w:left="8036" w:hanging="272"/>
      </w:pPr>
      <w:rPr>
        <w:rFonts w:hint="default"/>
      </w:rPr>
    </w:lvl>
  </w:abstractNum>
  <w:abstractNum w:abstractNumId="3">
    <w:multiLevelType w:val="hybridMultilevel"/>
    <w:lvl w:ilvl="0">
      <w:start w:val="1"/>
      <w:numFmt w:val="lowerLetter"/>
      <w:lvlText w:val="%1)"/>
      <w:lvlJc w:val="left"/>
      <w:pPr>
        <w:ind w:left="108" w:hanging="232"/>
        <w:jc w:val="left"/>
      </w:pPr>
      <w:rPr>
        <w:rFonts w:hint="default" w:ascii="Calibri" w:hAnsi="Calibri" w:eastAsia="Calibri" w:cs="Calibri"/>
        <w:spacing w:val="-1"/>
        <w:w w:val="97"/>
        <w:sz w:val="20"/>
        <w:szCs w:val="20"/>
      </w:rPr>
    </w:lvl>
    <w:lvl w:ilvl="1">
      <w:start w:val="0"/>
      <w:numFmt w:val="bullet"/>
      <w:lvlText w:val="•"/>
      <w:lvlJc w:val="left"/>
      <w:pPr>
        <w:ind w:left="1092" w:hanging="232"/>
      </w:pPr>
      <w:rPr>
        <w:rFonts w:hint="default"/>
      </w:rPr>
    </w:lvl>
    <w:lvl w:ilvl="2">
      <w:start w:val="0"/>
      <w:numFmt w:val="bullet"/>
      <w:lvlText w:val="•"/>
      <w:lvlJc w:val="left"/>
      <w:pPr>
        <w:ind w:left="2084" w:hanging="232"/>
      </w:pPr>
      <w:rPr>
        <w:rFonts w:hint="default"/>
      </w:rPr>
    </w:lvl>
    <w:lvl w:ilvl="3">
      <w:start w:val="0"/>
      <w:numFmt w:val="bullet"/>
      <w:lvlText w:val="•"/>
      <w:lvlJc w:val="left"/>
      <w:pPr>
        <w:ind w:left="3076" w:hanging="232"/>
      </w:pPr>
      <w:rPr>
        <w:rFonts w:hint="default"/>
      </w:rPr>
    </w:lvl>
    <w:lvl w:ilvl="4">
      <w:start w:val="0"/>
      <w:numFmt w:val="bullet"/>
      <w:lvlText w:val="•"/>
      <w:lvlJc w:val="left"/>
      <w:pPr>
        <w:ind w:left="4068" w:hanging="232"/>
      </w:pPr>
      <w:rPr>
        <w:rFonts w:hint="default"/>
      </w:rPr>
    </w:lvl>
    <w:lvl w:ilvl="5">
      <w:start w:val="0"/>
      <w:numFmt w:val="bullet"/>
      <w:lvlText w:val="•"/>
      <w:lvlJc w:val="left"/>
      <w:pPr>
        <w:ind w:left="5060" w:hanging="232"/>
      </w:pPr>
      <w:rPr>
        <w:rFonts w:hint="default"/>
      </w:rPr>
    </w:lvl>
    <w:lvl w:ilvl="6">
      <w:start w:val="0"/>
      <w:numFmt w:val="bullet"/>
      <w:lvlText w:val="•"/>
      <w:lvlJc w:val="left"/>
      <w:pPr>
        <w:ind w:left="6052" w:hanging="232"/>
      </w:pPr>
      <w:rPr>
        <w:rFonts w:hint="default"/>
      </w:rPr>
    </w:lvl>
    <w:lvl w:ilvl="7">
      <w:start w:val="0"/>
      <w:numFmt w:val="bullet"/>
      <w:lvlText w:val="•"/>
      <w:lvlJc w:val="left"/>
      <w:pPr>
        <w:ind w:left="7044" w:hanging="232"/>
      </w:pPr>
      <w:rPr>
        <w:rFonts w:hint="default"/>
      </w:rPr>
    </w:lvl>
    <w:lvl w:ilvl="8">
      <w:start w:val="0"/>
      <w:numFmt w:val="bullet"/>
      <w:lvlText w:val="•"/>
      <w:lvlJc w:val="left"/>
      <w:pPr>
        <w:ind w:left="8036" w:hanging="232"/>
      </w:pPr>
      <w:rPr>
        <w:rFonts w:hint="default"/>
      </w:rPr>
    </w:lvl>
  </w:abstractNum>
  <w:abstractNum w:abstractNumId="2">
    <w:multiLevelType w:val="hybridMultilevel"/>
    <w:lvl w:ilvl="0">
      <w:start w:val="1"/>
      <w:numFmt w:val="upperRoman"/>
      <w:lvlText w:val="%1."/>
      <w:lvlJc w:val="left"/>
      <w:pPr>
        <w:ind w:left="585" w:hanging="167"/>
        <w:jc w:val="right"/>
      </w:pPr>
      <w:rPr>
        <w:rFonts w:hint="default"/>
        <w:b/>
        <w:bCs/>
        <w:spacing w:val="-1"/>
        <w:w w:val="98"/>
      </w:rPr>
    </w:lvl>
    <w:lvl w:ilvl="1">
      <w:start w:val="1"/>
      <w:numFmt w:val="decimal"/>
      <w:lvlText w:val="%2."/>
      <w:lvlJc w:val="left"/>
      <w:pPr>
        <w:ind w:left="108" w:hanging="225"/>
        <w:jc w:val="right"/>
      </w:pPr>
      <w:rPr>
        <w:rFonts w:hint="default"/>
        <w:spacing w:val="-1"/>
        <w:w w:val="103"/>
      </w:rPr>
    </w:lvl>
    <w:lvl w:ilvl="2">
      <w:start w:val="1"/>
      <w:numFmt w:val="decimal"/>
      <w:lvlText w:val="%3."/>
      <w:lvlJc w:val="left"/>
      <w:pPr>
        <w:ind w:left="108" w:hanging="219"/>
        <w:jc w:val="right"/>
      </w:pPr>
      <w:rPr>
        <w:rFonts w:hint="default" w:ascii="Calibri" w:hAnsi="Calibri" w:eastAsia="Calibri" w:cs="Calibri"/>
        <w:spacing w:val="-1"/>
        <w:w w:val="103"/>
        <w:sz w:val="20"/>
        <w:szCs w:val="20"/>
      </w:rPr>
    </w:lvl>
    <w:lvl w:ilvl="3">
      <w:start w:val="2"/>
      <w:numFmt w:val="decimal"/>
      <w:lvlText w:val="(%4)"/>
      <w:lvlJc w:val="left"/>
      <w:pPr>
        <w:ind w:left="108" w:hanging="302"/>
        <w:jc w:val="right"/>
      </w:pPr>
      <w:rPr>
        <w:rFonts w:hint="default" w:ascii="Calibri" w:hAnsi="Calibri" w:eastAsia="Calibri" w:cs="Calibri"/>
        <w:spacing w:val="-1"/>
        <w:w w:val="97"/>
        <w:sz w:val="20"/>
        <w:szCs w:val="20"/>
      </w:rPr>
    </w:lvl>
    <w:lvl w:ilvl="4">
      <w:start w:val="0"/>
      <w:numFmt w:val="bullet"/>
      <w:lvlText w:val="•"/>
      <w:lvlJc w:val="left"/>
      <w:pPr>
        <w:ind w:left="3726" w:hanging="302"/>
      </w:pPr>
      <w:rPr>
        <w:rFonts w:hint="default"/>
      </w:rPr>
    </w:lvl>
    <w:lvl w:ilvl="5">
      <w:start w:val="0"/>
      <w:numFmt w:val="bullet"/>
      <w:lvlText w:val="•"/>
      <w:lvlJc w:val="left"/>
      <w:pPr>
        <w:ind w:left="4775" w:hanging="302"/>
      </w:pPr>
      <w:rPr>
        <w:rFonts w:hint="default"/>
      </w:rPr>
    </w:lvl>
    <w:lvl w:ilvl="6">
      <w:start w:val="0"/>
      <w:numFmt w:val="bullet"/>
      <w:lvlText w:val="•"/>
      <w:lvlJc w:val="left"/>
      <w:pPr>
        <w:ind w:left="5824" w:hanging="302"/>
      </w:pPr>
      <w:rPr>
        <w:rFonts w:hint="default"/>
      </w:rPr>
    </w:lvl>
    <w:lvl w:ilvl="7">
      <w:start w:val="0"/>
      <w:numFmt w:val="bullet"/>
      <w:lvlText w:val="•"/>
      <w:lvlJc w:val="left"/>
      <w:pPr>
        <w:ind w:left="6873" w:hanging="302"/>
      </w:pPr>
      <w:rPr>
        <w:rFonts w:hint="default"/>
      </w:rPr>
    </w:lvl>
    <w:lvl w:ilvl="8">
      <w:start w:val="0"/>
      <w:numFmt w:val="bullet"/>
      <w:lvlText w:val="•"/>
      <w:lvlJc w:val="left"/>
      <w:pPr>
        <w:ind w:left="7922" w:hanging="302"/>
      </w:pPr>
      <w:rPr>
        <w:rFonts w:hint="default"/>
      </w:rPr>
    </w:lvl>
  </w:abstractNum>
  <w:abstractNum w:abstractNumId="1">
    <w:multiLevelType w:val="hybridMultilevel"/>
    <w:lvl w:ilvl="0">
      <w:start w:val="1"/>
      <w:numFmt w:val="lowerLetter"/>
      <w:lvlText w:val="%1)"/>
      <w:lvlJc w:val="left"/>
      <w:pPr>
        <w:ind w:left="168" w:hanging="257"/>
        <w:jc w:val="left"/>
      </w:pPr>
      <w:rPr>
        <w:rFonts w:hint="default" w:ascii="Calibri" w:hAnsi="Calibri" w:eastAsia="Calibri" w:cs="Calibri"/>
        <w:spacing w:val="-1"/>
        <w:w w:val="97"/>
        <w:sz w:val="20"/>
        <w:szCs w:val="20"/>
      </w:rPr>
    </w:lvl>
    <w:lvl w:ilvl="1">
      <w:start w:val="0"/>
      <w:numFmt w:val="bullet"/>
      <w:lvlText w:val="•"/>
      <w:lvlJc w:val="left"/>
      <w:pPr>
        <w:ind w:left="1123" w:hanging="257"/>
      </w:pPr>
      <w:rPr>
        <w:rFonts w:hint="default"/>
      </w:rPr>
    </w:lvl>
    <w:lvl w:ilvl="2">
      <w:start w:val="0"/>
      <w:numFmt w:val="bullet"/>
      <w:lvlText w:val="•"/>
      <w:lvlJc w:val="left"/>
      <w:pPr>
        <w:ind w:left="2087" w:hanging="257"/>
      </w:pPr>
      <w:rPr>
        <w:rFonts w:hint="default"/>
      </w:rPr>
    </w:lvl>
    <w:lvl w:ilvl="3">
      <w:start w:val="0"/>
      <w:numFmt w:val="bullet"/>
      <w:lvlText w:val="•"/>
      <w:lvlJc w:val="left"/>
      <w:pPr>
        <w:ind w:left="3050" w:hanging="257"/>
      </w:pPr>
      <w:rPr>
        <w:rFonts w:hint="default"/>
      </w:rPr>
    </w:lvl>
    <w:lvl w:ilvl="4">
      <w:start w:val="0"/>
      <w:numFmt w:val="bullet"/>
      <w:lvlText w:val="•"/>
      <w:lvlJc w:val="left"/>
      <w:pPr>
        <w:ind w:left="4014" w:hanging="257"/>
      </w:pPr>
      <w:rPr>
        <w:rFonts w:hint="default"/>
      </w:rPr>
    </w:lvl>
    <w:lvl w:ilvl="5">
      <w:start w:val="0"/>
      <w:numFmt w:val="bullet"/>
      <w:lvlText w:val="•"/>
      <w:lvlJc w:val="left"/>
      <w:pPr>
        <w:ind w:left="4977" w:hanging="257"/>
      </w:pPr>
      <w:rPr>
        <w:rFonts w:hint="default"/>
      </w:rPr>
    </w:lvl>
    <w:lvl w:ilvl="6">
      <w:start w:val="0"/>
      <w:numFmt w:val="bullet"/>
      <w:lvlText w:val="•"/>
      <w:lvlJc w:val="left"/>
      <w:pPr>
        <w:ind w:left="5941" w:hanging="257"/>
      </w:pPr>
      <w:rPr>
        <w:rFonts w:hint="default"/>
      </w:rPr>
    </w:lvl>
    <w:lvl w:ilvl="7">
      <w:start w:val="0"/>
      <w:numFmt w:val="bullet"/>
      <w:lvlText w:val="•"/>
      <w:lvlJc w:val="left"/>
      <w:pPr>
        <w:ind w:left="6905" w:hanging="257"/>
      </w:pPr>
      <w:rPr>
        <w:rFonts w:hint="default"/>
      </w:rPr>
    </w:lvl>
    <w:lvl w:ilvl="8">
      <w:start w:val="0"/>
      <w:numFmt w:val="bullet"/>
      <w:lvlText w:val="•"/>
      <w:lvlJc w:val="left"/>
      <w:pPr>
        <w:ind w:left="7868" w:hanging="257"/>
      </w:pPr>
      <w:rPr>
        <w:rFonts w:hint="default"/>
      </w:rPr>
    </w:lvl>
  </w:abstractNum>
  <w:abstractNum w:abstractNumId="0">
    <w:multiLevelType w:val="hybridMultilevel"/>
    <w:lvl w:ilvl="0">
      <w:start w:val="1"/>
      <w:numFmt w:val="lowerLetter"/>
      <w:lvlText w:val="%1)"/>
      <w:lvlJc w:val="left"/>
      <w:pPr>
        <w:ind w:left="445" w:hanging="308"/>
        <w:jc w:val="left"/>
      </w:pPr>
      <w:rPr>
        <w:rFonts w:hint="default" w:ascii="Calibri" w:hAnsi="Calibri" w:eastAsia="Calibri" w:cs="Calibri"/>
        <w:spacing w:val="-4"/>
        <w:w w:val="97"/>
        <w:sz w:val="20"/>
        <w:szCs w:val="20"/>
      </w:rPr>
    </w:lvl>
    <w:lvl w:ilvl="1">
      <w:start w:val="0"/>
      <w:numFmt w:val="bullet"/>
      <w:lvlText w:val="•"/>
      <w:lvlJc w:val="left"/>
      <w:pPr>
        <w:ind w:left="1375" w:hanging="308"/>
      </w:pPr>
      <w:rPr>
        <w:rFonts w:hint="default"/>
      </w:rPr>
    </w:lvl>
    <w:lvl w:ilvl="2">
      <w:start w:val="0"/>
      <w:numFmt w:val="bullet"/>
      <w:lvlText w:val="•"/>
      <w:lvlJc w:val="left"/>
      <w:pPr>
        <w:ind w:left="2311" w:hanging="308"/>
      </w:pPr>
      <w:rPr>
        <w:rFonts w:hint="default"/>
      </w:rPr>
    </w:lvl>
    <w:lvl w:ilvl="3">
      <w:start w:val="0"/>
      <w:numFmt w:val="bullet"/>
      <w:lvlText w:val="•"/>
      <w:lvlJc w:val="left"/>
      <w:pPr>
        <w:ind w:left="3246" w:hanging="308"/>
      </w:pPr>
      <w:rPr>
        <w:rFonts w:hint="default"/>
      </w:rPr>
    </w:lvl>
    <w:lvl w:ilvl="4">
      <w:start w:val="0"/>
      <w:numFmt w:val="bullet"/>
      <w:lvlText w:val="•"/>
      <w:lvlJc w:val="left"/>
      <w:pPr>
        <w:ind w:left="4182" w:hanging="308"/>
      </w:pPr>
      <w:rPr>
        <w:rFonts w:hint="default"/>
      </w:rPr>
    </w:lvl>
    <w:lvl w:ilvl="5">
      <w:start w:val="0"/>
      <w:numFmt w:val="bullet"/>
      <w:lvlText w:val="•"/>
      <w:lvlJc w:val="left"/>
      <w:pPr>
        <w:ind w:left="5117" w:hanging="308"/>
      </w:pPr>
      <w:rPr>
        <w:rFonts w:hint="default"/>
      </w:rPr>
    </w:lvl>
    <w:lvl w:ilvl="6">
      <w:start w:val="0"/>
      <w:numFmt w:val="bullet"/>
      <w:lvlText w:val="•"/>
      <w:lvlJc w:val="left"/>
      <w:pPr>
        <w:ind w:left="6053" w:hanging="308"/>
      </w:pPr>
      <w:rPr>
        <w:rFonts w:hint="default"/>
      </w:rPr>
    </w:lvl>
    <w:lvl w:ilvl="7">
      <w:start w:val="0"/>
      <w:numFmt w:val="bullet"/>
      <w:lvlText w:val="•"/>
      <w:lvlJc w:val="left"/>
      <w:pPr>
        <w:ind w:left="6989" w:hanging="308"/>
      </w:pPr>
      <w:rPr>
        <w:rFonts w:hint="default"/>
      </w:rPr>
    </w:lvl>
    <w:lvl w:ilvl="8">
      <w:start w:val="0"/>
      <w:numFmt w:val="bullet"/>
      <w:lvlText w:val="•"/>
      <w:lvlJc w:val="left"/>
      <w:pPr>
        <w:ind w:left="7924" w:hanging="308"/>
      </w:pPr>
      <w:rPr>
        <w:rFonts w:hint="default"/>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spacing w:before="109"/>
      <w:ind w:left="108"/>
      <w:jc w:val="both"/>
    </w:pPr>
    <w:rPr>
      <w:rFonts w:ascii="Calibri" w:hAnsi="Calibri" w:eastAsia="Calibri" w:cs="Calibri"/>
      <w:sz w:val="20"/>
      <w:szCs w:val="20"/>
    </w:rPr>
  </w:style>
  <w:style w:styleId="Heading1" w:type="paragraph">
    <w:name w:val="Heading 1"/>
    <w:basedOn w:val="Normal"/>
    <w:uiPriority w:val="1"/>
    <w:qFormat/>
    <w:pPr>
      <w:spacing w:before="10"/>
      <w:ind w:left="1704"/>
      <w:outlineLvl w:val="1"/>
    </w:pPr>
    <w:rPr>
      <w:rFonts w:ascii="Arial" w:hAnsi="Arial" w:eastAsia="Arial" w:cs="Arial"/>
      <w:b/>
      <w:bCs/>
      <w:sz w:val="21"/>
      <w:szCs w:val="21"/>
    </w:rPr>
  </w:style>
  <w:style w:styleId="Heading2" w:type="paragraph">
    <w:name w:val="Heading 2"/>
    <w:basedOn w:val="Normal"/>
    <w:uiPriority w:val="1"/>
    <w:qFormat/>
    <w:pPr>
      <w:spacing w:before="108"/>
      <w:ind w:left="107"/>
      <w:outlineLvl w:val="2"/>
    </w:pPr>
    <w:rPr>
      <w:rFonts w:ascii="Arial" w:hAnsi="Arial" w:eastAsia="Arial" w:cs="Arial"/>
      <w:b/>
      <w:bCs/>
      <w:sz w:val="20"/>
      <w:szCs w:val="20"/>
    </w:rPr>
  </w:style>
  <w:style w:styleId="ListParagraph" w:type="paragraph">
    <w:name w:val="List Paragraph"/>
    <w:basedOn w:val="Normal"/>
    <w:uiPriority w:val="1"/>
    <w:qFormat/>
    <w:pPr>
      <w:spacing w:before="109"/>
      <w:ind w:left="108"/>
      <w:jc w:val="both"/>
    </w:pPr>
    <w:rPr>
      <w:rFonts w:ascii="Calibri" w:hAnsi="Calibri" w:eastAsia="Calibri" w:cs="Calibri"/>
    </w:rPr>
  </w:style>
  <w:style w:styleId="TableParagraph" w:type="paragraph">
    <w:name w:val="Table Paragraph"/>
    <w:basedOn w:val="Normal"/>
    <w:uiPriority w:val="1"/>
    <w:qFormat/>
    <w:pPr>
      <w:spacing w:before="68"/>
      <w:ind w:left="11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www.legalis.ro/legalis/document-view.seam?documentId=nr4f6mrwgnptembqg4" TargetMode="External"/><Relationship Id="rId9" Type="http://schemas.openxmlformats.org/officeDocument/2006/relationships/hyperlink" Target="https://www.legalis.ro/legalis/document-view.seam?documentId=nr4f6mjql4zdambr" TargetMode="External"/><Relationship Id="rId10" Type="http://schemas.openxmlformats.org/officeDocument/2006/relationships/hyperlink" Target="https://www.legalis.ro/legalis/document-view.seam?documentId=n5tv6mjzl4ytsoju" TargetMode="External"/><Relationship Id="rId11" Type="http://schemas.openxmlformats.org/officeDocument/2006/relationships/hyperlink" Target="https://www.legalis.ro/legalis/document-view.seam?documentId=nr4f6obsl4ytsojv" TargetMode="External"/><Relationship Id="rId12" Type="http://schemas.openxmlformats.org/officeDocument/2006/relationships/hyperlink" Target="https://www.legalis.ro/legalis/document-view.seam?documentId=nr4f6mzugfptembqgq" TargetMode="External"/><Relationship Id="rId13" Type="http://schemas.openxmlformats.org/officeDocument/2006/relationships/hyperlink" Target="https://www.legalis.ro/legalis/document-view.seam?documentId=nr4f6mjvhbptembrge" TargetMode="External"/><Relationship Id="rId14" Type="http://schemas.openxmlformats.org/officeDocument/2006/relationships/hyperlink" Target="https://www.legalis.ro/legalis/document-view.seam?documentId=nr4f6mjvgnptembrge" TargetMode="External"/><Relationship Id="rId15" Type="http://schemas.openxmlformats.org/officeDocument/2006/relationships/footer" Target="footer2.xml"/><Relationship Id="rId16" Type="http://schemas.openxmlformats.org/officeDocument/2006/relationships/hyperlink" Target="https://www.legalis.ro/legalis/document-view.seam?documentId=mnqwk3tyl4ytsojx" TargetMode="External"/><Relationship Id="rId17" Type="http://schemas.openxmlformats.org/officeDocument/2006/relationships/hyperlink" Target="https://www.legalis.ro/legalis/document-view.seam?documentId=mrwf6mjrhbptcojzga" TargetMode="External"/><Relationship Id="rId18" Type="http://schemas.openxmlformats.org/officeDocument/2006/relationships/footer" Target="footer3.xml"/><Relationship Id="rId19" Type="http://schemas.openxmlformats.org/officeDocument/2006/relationships/hyperlink" Target="https://www.legalis.ro/legalis/document-view.seam?documentId=nr4f6nbsgjptembqge" TargetMode="External"/><Relationship Id="rId20" Type="http://schemas.openxmlformats.org/officeDocument/2006/relationships/hyperlink" Target="https://www.legalis.ro/legalis/document-view.seam?documentId=nr4f6mzvgbptembqge"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Monitorul Oficial Local</dc:title>
  <dcterms:created xsi:type="dcterms:W3CDTF">2022-12-13T07:58:06Z</dcterms:created>
  <dcterms:modified xsi:type="dcterms:W3CDTF">2022-12-13T07:58:06Z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wkhtmltopdf 0.12.6</vt:lpwstr>
  </property>
  <property fmtid="{D5CDD505-2E9C-101B-9397-08002B2CF9AE}" pid="4" name="LastSaved">
    <vt:filetime>2022-12-13T00:00:00Z</vt:filetime>
  </property>
</Properties>
</file>